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57A0" w14:textId="0C615259" w:rsidR="009169DA" w:rsidRDefault="00A53864" w:rsidP="009169DA">
      <w:r>
        <w:t>PN</w:t>
      </w:r>
      <w:r w:rsidR="009169DA">
        <w:t>18-108 Managing Performance – Privacy Notice</w:t>
      </w:r>
    </w:p>
    <w:p w14:paraId="00B95EDC" w14:textId="77777777" w:rsidR="009169DA" w:rsidRPr="00ED0060" w:rsidRDefault="009169DA" w:rsidP="009169DA">
      <w:pPr>
        <w:rPr>
          <w:rFonts w:cs="Arial"/>
          <w:b/>
          <w:szCs w:val="24"/>
        </w:rPr>
      </w:pPr>
      <w:r w:rsidRPr="00ED0060">
        <w:rPr>
          <w:rFonts w:cs="Arial"/>
          <w:b/>
          <w:szCs w:val="24"/>
        </w:rPr>
        <w:t xml:space="preserve">Your Data </w:t>
      </w:r>
    </w:p>
    <w:p w14:paraId="6278C735" w14:textId="68BE45A9" w:rsidR="009169DA" w:rsidRPr="008B1682" w:rsidRDefault="009169DA" w:rsidP="009169DA">
      <w:pPr>
        <w:rPr>
          <w:rFonts w:cs="Arial"/>
          <w:szCs w:val="24"/>
        </w:rPr>
      </w:pPr>
      <w:r w:rsidRPr="006712CA">
        <w:rPr>
          <w:rFonts w:eastAsia="Calibri" w:cs="Arial"/>
          <w:szCs w:val="24"/>
        </w:rPr>
        <w:t xml:space="preserve">The Council has a range of employee related </w:t>
      </w:r>
      <w:hyperlink r:id="rId4" w:history="1">
        <w:r w:rsidRPr="006712CA">
          <w:rPr>
            <w:rFonts w:eastAsia="Calibri" w:cs="Arial"/>
            <w:color w:val="0000FF"/>
            <w:szCs w:val="24"/>
            <w:u w:val="single"/>
          </w:rPr>
          <w:t>policies</w:t>
        </w:r>
      </w:hyperlink>
      <w:r w:rsidRPr="006712CA">
        <w:rPr>
          <w:rFonts w:eastAsia="Calibri" w:cs="Arial"/>
          <w:szCs w:val="24"/>
        </w:rPr>
        <w:t xml:space="preserve"> including Managing </w:t>
      </w:r>
      <w:r>
        <w:rPr>
          <w:rFonts w:eastAsia="Calibri" w:cs="Arial"/>
          <w:szCs w:val="24"/>
        </w:rPr>
        <w:t>Performance. For those</w:t>
      </w:r>
      <w:r w:rsidR="002F189E">
        <w:rPr>
          <w:rFonts w:eastAsia="Calibri" w:cs="Arial"/>
          <w:szCs w:val="24"/>
        </w:rPr>
        <w:t xml:space="preserve"> involved in</w:t>
      </w:r>
      <w:r>
        <w:rPr>
          <w:rFonts w:eastAsia="Calibri" w:cs="Arial"/>
          <w:szCs w:val="24"/>
        </w:rPr>
        <w:t xml:space="preserve"> managing, or</w:t>
      </w:r>
      <w:r w:rsidRPr="006712CA">
        <w:rPr>
          <w:rFonts w:eastAsia="Calibri" w:cs="Arial"/>
          <w:szCs w:val="24"/>
        </w:rPr>
        <w:t xml:space="preserve"> being managed through this policy, more personal information is being generated</w:t>
      </w:r>
      <w:r>
        <w:rPr>
          <w:rFonts w:eastAsia="Calibri" w:cs="Arial"/>
          <w:szCs w:val="24"/>
        </w:rPr>
        <w:t xml:space="preserve"> to document and support the decision</w:t>
      </w:r>
      <w:bookmarkStart w:id="0" w:name="_GoBack"/>
      <w:bookmarkEnd w:id="0"/>
      <w:r>
        <w:rPr>
          <w:rFonts w:eastAsia="Calibri" w:cs="Arial"/>
          <w:szCs w:val="24"/>
        </w:rPr>
        <w:t xml:space="preserve"> making process</w:t>
      </w:r>
      <w:r w:rsidRPr="006712CA">
        <w:rPr>
          <w:rFonts w:eastAsia="Calibri" w:cs="Arial"/>
          <w:szCs w:val="24"/>
        </w:rPr>
        <w:t>.  This notice explains how th</w:t>
      </w:r>
      <w:r>
        <w:rPr>
          <w:rFonts w:eastAsia="Calibri" w:cs="Arial"/>
          <w:szCs w:val="24"/>
        </w:rPr>
        <w:t>at</w:t>
      </w:r>
      <w:r w:rsidRPr="006712CA">
        <w:rPr>
          <w:rFonts w:eastAsia="Calibri" w:cs="Arial"/>
          <w:szCs w:val="24"/>
        </w:rPr>
        <w:t xml:space="preserve"> information is used, managed and </w:t>
      </w:r>
      <w:r w:rsidRPr="008B1682">
        <w:rPr>
          <w:rFonts w:cs="Arial"/>
          <w:szCs w:val="24"/>
        </w:rPr>
        <w:t xml:space="preserve">stored. </w:t>
      </w:r>
    </w:p>
    <w:p w14:paraId="4E7F1951" w14:textId="5E6A78BA" w:rsidR="009169DA" w:rsidRPr="00A74C9A" w:rsidRDefault="009169DA" w:rsidP="009169DA">
      <w:pPr>
        <w:rPr>
          <w:rFonts w:cs="Arial"/>
          <w:szCs w:val="24"/>
        </w:rPr>
      </w:pPr>
      <w:r>
        <w:rPr>
          <w:rFonts w:cs="Arial"/>
          <w:szCs w:val="24"/>
        </w:rPr>
        <w:t xml:space="preserve">The personal information will be contained in the various documents referred to in the policy. </w:t>
      </w:r>
    </w:p>
    <w:p w14:paraId="7CFB0E4A" w14:textId="4614B89A" w:rsidR="009169DA" w:rsidRDefault="009169DA" w:rsidP="009169DA">
      <w:pPr>
        <w:rPr>
          <w:rFonts w:cs="Arial"/>
          <w:szCs w:val="24"/>
        </w:rPr>
      </w:pPr>
      <w:r>
        <w:rPr>
          <w:rFonts w:cs="Arial"/>
          <w:szCs w:val="24"/>
        </w:rPr>
        <w:t xml:space="preserve">This information will be held by the Officer managing the process. If a People and Organisation Adviser is assigned to support that Officer, they will also have access to the information. </w:t>
      </w:r>
    </w:p>
    <w:p w14:paraId="4660333B" w14:textId="31236257" w:rsidR="009169DA" w:rsidRDefault="009169DA" w:rsidP="009169DA">
      <w:pPr>
        <w:rPr>
          <w:rFonts w:cs="Arial"/>
          <w:szCs w:val="24"/>
        </w:rPr>
      </w:pPr>
      <w:r>
        <w:rPr>
          <w:rFonts w:cs="Arial"/>
          <w:szCs w:val="24"/>
        </w:rPr>
        <w:t>If the process results in a Performance Capability hearing, this will be chaired by a senior manager, who is not the employee’s line manager</w:t>
      </w:r>
      <w:r w:rsidR="00A1445D">
        <w:rPr>
          <w:rFonts w:cs="Arial"/>
          <w:szCs w:val="24"/>
        </w:rPr>
        <w:t>,</w:t>
      </w:r>
      <w:r w:rsidR="00A70228">
        <w:rPr>
          <w:rFonts w:cs="Arial"/>
          <w:szCs w:val="24"/>
        </w:rPr>
        <w:t xml:space="preserve"> and</w:t>
      </w:r>
      <w:r w:rsidR="000635E2">
        <w:rPr>
          <w:rFonts w:cs="Arial"/>
          <w:szCs w:val="24"/>
        </w:rPr>
        <w:t xml:space="preserve"> </w:t>
      </w:r>
      <w:r w:rsidR="00A70228">
        <w:rPr>
          <w:rFonts w:cs="Arial"/>
          <w:szCs w:val="24"/>
        </w:rPr>
        <w:t>t</w:t>
      </w:r>
      <w:r w:rsidR="000635E2">
        <w:rPr>
          <w:rFonts w:cs="Arial"/>
          <w:szCs w:val="24"/>
        </w:rPr>
        <w:t>hey</w:t>
      </w:r>
      <w:r>
        <w:rPr>
          <w:rFonts w:cs="Arial"/>
          <w:szCs w:val="24"/>
        </w:rPr>
        <w:t xml:space="preserve"> will also have access to the information. </w:t>
      </w:r>
    </w:p>
    <w:p w14:paraId="739A2C22" w14:textId="61D8B62A" w:rsidR="009169DA" w:rsidRDefault="009169DA" w:rsidP="009169DA">
      <w:pPr>
        <w:rPr>
          <w:rFonts w:cs="Arial"/>
          <w:szCs w:val="24"/>
        </w:rPr>
      </w:pPr>
      <w:r>
        <w:rPr>
          <w:rFonts w:cs="Arial"/>
          <w:szCs w:val="24"/>
        </w:rPr>
        <w:t>Where there is an appeal of the outcome of the Performance Capability hearing, the appeal could be heard either by a manager more senior to the one who made the decision or by the Council’s Appeals Sub Committee. The</w:t>
      </w:r>
      <w:r w:rsidR="00A1445D">
        <w:rPr>
          <w:rFonts w:cs="Arial"/>
          <w:szCs w:val="24"/>
        </w:rPr>
        <w:t xml:space="preserve"> relevant</w:t>
      </w:r>
      <w:r>
        <w:rPr>
          <w:rFonts w:cs="Arial"/>
          <w:szCs w:val="24"/>
        </w:rPr>
        <w:t xml:space="preserve"> information will be shared with those conducting the appeal. </w:t>
      </w:r>
    </w:p>
    <w:p w14:paraId="7C9BFC0D" w14:textId="216DE0EB" w:rsidR="009169DA" w:rsidRPr="00C314BD" w:rsidRDefault="009169DA" w:rsidP="009169DA">
      <w:pPr>
        <w:rPr>
          <w:rFonts w:cs="Arial"/>
          <w:szCs w:val="24"/>
        </w:rPr>
      </w:pPr>
      <w:r w:rsidRPr="00C314BD">
        <w:rPr>
          <w:rFonts w:cs="Arial"/>
          <w:szCs w:val="24"/>
        </w:rPr>
        <w:t xml:space="preserve">If </w:t>
      </w:r>
      <w:r>
        <w:rPr>
          <w:rFonts w:cs="Arial"/>
          <w:szCs w:val="24"/>
        </w:rPr>
        <w:t>the</w:t>
      </w:r>
      <w:r w:rsidRPr="00C314BD">
        <w:rPr>
          <w:rFonts w:cs="Arial"/>
          <w:szCs w:val="24"/>
        </w:rPr>
        <w:t xml:space="preserve"> appeal is considered by the Appeals Sub Committee, the Council will share</w:t>
      </w:r>
      <w:r>
        <w:rPr>
          <w:rFonts w:cs="Arial"/>
          <w:szCs w:val="24"/>
        </w:rPr>
        <w:t xml:space="preserve"> relevant personal </w:t>
      </w:r>
      <w:r w:rsidRPr="00C314BD">
        <w:rPr>
          <w:rFonts w:cs="Arial"/>
          <w:szCs w:val="24"/>
        </w:rPr>
        <w:t xml:space="preserve">information with the members of the Committee determining your appeal. The Committee Meeting Agenda, Minutes and accompanying papers are </w:t>
      </w:r>
      <w:r w:rsidR="0089460D" w:rsidRPr="00C314BD">
        <w:rPr>
          <w:rFonts w:cs="Arial"/>
          <w:szCs w:val="24"/>
        </w:rPr>
        <w:t>confidential,</w:t>
      </w:r>
      <w:r w:rsidRPr="00C314BD">
        <w:rPr>
          <w:rFonts w:cs="Arial"/>
          <w:szCs w:val="24"/>
        </w:rPr>
        <w:t xml:space="preserve"> </w:t>
      </w:r>
      <w:r w:rsidR="0089460D">
        <w:rPr>
          <w:rFonts w:cs="Arial"/>
          <w:szCs w:val="24"/>
        </w:rPr>
        <w:t>and</w:t>
      </w:r>
      <w:r w:rsidRPr="00C314BD">
        <w:rPr>
          <w:rFonts w:cs="Arial"/>
          <w:szCs w:val="24"/>
        </w:rPr>
        <w:t xml:space="preserve"> the meeting considered in private. The minute which is published will be anonymised.</w:t>
      </w:r>
    </w:p>
    <w:p w14:paraId="0721678D" w14:textId="2802FB52" w:rsidR="009169DA" w:rsidRDefault="002F189E" w:rsidP="009169DA">
      <w:pPr>
        <w:rPr>
          <w:rFonts w:cs="Arial"/>
          <w:szCs w:val="24"/>
        </w:rPr>
      </w:pPr>
      <w:r>
        <w:rPr>
          <w:rFonts w:cs="Arial"/>
          <w:szCs w:val="24"/>
        </w:rPr>
        <w:t>Throughout the</w:t>
      </w:r>
      <w:r w:rsidR="009169DA">
        <w:rPr>
          <w:rFonts w:cs="Arial"/>
          <w:szCs w:val="24"/>
        </w:rPr>
        <w:t xml:space="preserve"> process, the Officers involved will arrange for any relevant documents to be retained in</w:t>
      </w:r>
      <w:r w:rsidR="005E2B50">
        <w:rPr>
          <w:rFonts w:cs="Arial"/>
          <w:szCs w:val="24"/>
        </w:rPr>
        <w:t xml:space="preserve"> the appropriate</w:t>
      </w:r>
      <w:r w:rsidR="009169DA">
        <w:rPr>
          <w:rFonts w:cs="Arial"/>
          <w:szCs w:val="24"/>
        </w:rPr>
        <w:t xml:space="preserve"> personal file. </w:t>
      </w:r>
    </w:p>
    <w:p w14:paraId="278E4432" w14:textId="6CBE5936" w:rsidR="009169DA" w:rsidRDefault="009169DA" w:rsidP="009169DA">
      <w:pPr>
        <w:rPr>
          <w:rFonts w:cs="Arial"/>
          <w:szCs w:val="24"/>
        </w:rPr>
      </w:pPr>
      <w:r>
        <w:rPr>
          <w:rFonts w:cs="Arial"/>
          <w:szCs w:val="24"/>
        </w:rPr>
        <w:t>The length of time the information generated by this process is retained</w:t>
      </w:r>
      <w:r w:rsidR="00A1445D">
        <w:rPr>
          <w:rFonts w:cs="Arial"/>
          <w:szCs w:val="24"/>
        </w:rPr>
        <w:t xml:space="preserve"> for</w:t>
      </w:r>
      <w:r>
        <w:rPr>
          <w:rFonts w:cs="Arial"/>
          <w:szCs w:val="24"/>
        </w:rPr>
        <w:t xml:space="preserve"> will depend on the outcome and </w:t>
      </w:r>
      <w:proofErr w:type="gramStart"/>
      <w:r>
        <w:rPr>
          <w:rFonts w:cs="Arial"/>
          <w:szCs w:val="24"/>
        </w:rPr>
        <w:t>whether or not</w:t>
      </w:r>
      <w:proofErr w:type="gramEnd"/>
      <w:r>
        <w:rPr>
          <w:rFonts w:cs="Arial"/>
          <w:szCs w:val="24"/>
        </w:rPr>
        <w:t xml:space="preserve"> you work with children and/or vulnerable adults. Detailed information can be found </w:t>
      </w:r>
      <w:hyperlink r:id="rId5" w:history="1">
        <w:r w:rsidRPr="00DE6224">
          <w:rPr>
            <w:rStyle w:val="Hyperlink"/>
            <w:rFonts w:cs="Arial"/>
            <w:szCs w:val="24"/>
          </w:rPr>
          <w:t>here</w:t>
        </w:r>
      </w:hyperlink>
      <w:r>
        <w:rPr>
          <w:rFonts w:cs="Arial"/>
          <w:szCs w:val="24"/>
        </w:rPr>
        <w:t xml:space="preserve"> and is summarised below:</w:t>
      </w:r>
    </w:p>
    <w:tbl>
      <w:tblPr>
        <w:tblStyle w:val="TableGrid"/>
        <w:tblW w:w="0" w:type="auto"/>
        <w:tblLook w:val="01E0" w:firstRow="1" w:lastRow="1" w:firstColumn="1" w:lastColumn="1" w:noHBand="0" w:noVBand="0"/>
      </w:tblPr>
      <w:tblGrid>
        <w:gridCol w:w="6421"/>
        <w:gridCol w:w="1524"/>
      </w:tblGrid>
      <w:tr w:rsidR="00A70228" w:rsidRPr="00B02FBF" w14:paraId="6F4B25A2" w14:textId="77777777" w:rsidTr="007A5B24">
        <w:tc>
          <w:tcPr>
            <w:tcW w:w="6421" w:type="dxa"/>
          </w:tcPr>
          <w:p w14:paraId="10CA4F5C" w14:textId="77777777" w:rsidR="00A70228" w:rsidRPr="00B02FBF" w:rsidRDefault="00A70228" w:rsidP="007A5B24">
            <w:pPr>
              <w:rPr>
                <w:rFonts w:ascii="Arial" w:hAnsi="Arial" w:cs="Arial"/>
                <w:b/>
                <w:sz w:val="24"/>
                <w:szCs w:val="24"/>
              </w:rPr>
            </w:pPr>
            <w:r>
              <w:rPr>
                <w:rFonts w:ascii="Arial" w:hAnsi="Arial" w:cs="Arial"/>
                <w:b/>
                <w:sz w:val="24"/>
                <w:szCs w:val="24"/>
              </w:rPr>
              <w:t>Performance Management Documents – Employee does not work with children or vulnerable adults</w:t>
            </w:r>
          </w:p>
          <w:p w14:paraId="3C5333CB" w14:textId="77777777" w:rsidR="00A70228" w:rsidRPr="00B02FBF" w:rsidRDefault="00A70228" w:rsidP="007A5B24">
            <w:pPr>
              <w:rPr>
                <w:rFonts w:ascii="Arial" w:hAnsi="Arial" w:cs="Arial"/>
                <w:sz w:val="24"/>
                <w:szCs w:val="24"/>
              </w:rPr>
            </w:pPr>
          </w:p>
        </w:tc>
        <w:tc>
          <w:tcPr>
            <w:tcW w:w="1524" w:type="dxa"/>
          </w:tcPr>
          <w:p w14:paraId="5EF6D580" w14:textId="77777777" w:rsidR="00A70228" w:rsidRDefault="00A70228" w:rsidP="007A5B24">
            <w:pPr>
              <w:rPr>
                <w:rFonts w:ascii="Arial" w:hAnsi="Arial" w:cs="Arial"/>
                <w:b/>
                <w:sz w:val="24"/>
                <w:szCs w:val="24"/>
              </w:rPr>
            </w:pPr>
          </w:p>
          <w:p w14:paraId="3E6978C6" w14:textId="77777777" w:rsidR="00A70228" w:rsidRPr="00B02FBF" w:rsidRDefault="00A70228" w:rsidP="007A5B24">
            <w:pPr>
              <w:rPr>
                <w:rFonts w:cs="Arial"/>
                <w:szCs w:val="24"/>
              </w:rPr>
            </w:pPr>
            <w:r>
              <w:rPr>
                <w:rFonts w:ascii="Arial" w:hAnsi="Arial" w:cs="Arial"/>
                <w:b/>
                <w:sz w:val="24"/>
                <w:szCs w:val="24"/>
              </w:rPr>
              <w:t>Duration Held for</w:t>
            </w:r>
          </w:p>
        </w:tc>
      </w:tr>
      <w:tr w:rsidR="00A70228" w:rsidRPr="00B02FBF" w14:paraId="51957D9C" w14:textId="77777777" w:rsidTr="007A5B24">
        <w:tc>
          <w:tcPr>
            <w:tcW w:w="6421" w:type="dxa"/>
          </w:tcPr>
          <w:p w14:paraId="30EFB2A9" w14:textId="77777777" w:rsidR="00A70228" w:rsidRPr="00B02FBF" w:rsidRDefault="00A70228" w:rsidP="007A5B24">
            <w:pPr>
              <w:rPr>
                <w:rFonts w:ascii="Arial" w:hAnsi="Arial" w:cs="Arial"/>
                <w:sz w:val="24"/>
                <w:szCs w:val="24"/>
              </w:rPr>
            </w:pPr>
            <w:bookmarkStart w:id="1" w:name="_Hlk516827226"/>
            <w:r>
              <w:rPr>
                <w:rFonts w:ascii="Arial" w:hAnsi="Arial" w:cs="Arial"/>
                <w:sz w:val="24"/>
                <w:szCs w:val="24"/>
              </w:rPr>
              <w:t xml:space="preserve">Any written documents produced </w:t>
            </w:r>
            <w:proofErr w:type="gramStart"/>
            <w:r>
              <w:rPr>
                <w:rFonts w:ascii="Arial" w:hAnsi="Arial" w:cs="Arial"/>
                <w:sz w:val="24"/>
                <w:szCs w:val="24"/>
              </w:rPr>
              <w:t>as a result of</w:t>
            </w:r>
            <w:proofErr w:type="gramEnd"/>
            <w:r>
              <w:rPr>
                <w:rFonts w:ascii="Arial" w:hAnsi="Arial" w:cs="Arial"/>
                <w:sz w:val="24"/>
                <w:szCs w:val="24"/>
              </w:rPr>
              <w:t xml:space="preserve"> following the Managing Performance policy and procedure.</w:t>
            </w:r>
          </w:p>
        </w:tc>
        <w:tc>
          <w:tcPr>
            <w:tcW w:w="1524" w:type="dxa"/>
          </w:tcPr>
          <w:p w14:paraId="76A5CC24" w14:textId="77777777" w:rsidR="00A70228" w:rsidRPr="006D6721" w:rsidRDefault="00A70228" w:rsidP="007A5B24">
            <w:pPr>
              <w:rPr>
                <w:rFonts w:ascii="Arial" w:hAnsi="Arial" w:cs="Arial"/>
                <w:sz w:val="24"/>
                <w:szCs w:val="24"/>
              </w:rPr>
            </w:pPr>
            <w:r w:rsidRPr="006D6721">
              <w:rPr>
                <w:rFonts w:ascii="Arial" w:hAnsi="Arial" w:cs="Arial"/>
                <w:sz w:val="24"/>
                <w:szCs w:val="24"/>
              </w:rPr>
              <w:t>6 years</w:t>
            </w:r>
            <w:r>
              <w:rPr>
                <w:rFonts w:ascii="Arial" w:hAnsi="Arial" w:cs="Arial"/>
                <w:sz w:val="24"/>
                <w:szCs w:val="24"/>
              </w:rPr>
              <w:t xml:space="preserve"> post termination </w:t>
            </w:r>
            <w:r>
              <w:rPr>
                <w:rFonts w:ascii="Arial" w:hAnsi="Arial" w:cs="Arial"/>
                <w:sz w:val="24"/>
                <w:szCs w:val="24"/>
              </w:rPr>
              <w:lastRenderedPageBreak/>
              <w:t>of employment</w:t>
            </w:r>
          </w:p>
        </w:tc>
      </w:tr>
      <w:bookmarkEnd w:id="1"/>
      <w:tr w:rsidR="00A70228" w:rsidRPr="00B02FBF" w14:paraId="4D62F66D" w14:textId="77777777" w:rsidTr="00A70228">
        <w:tblPrEx>
          <w:tblLook w:val="04A0" w:firstRow="1" w:lastRow="0" w:firstColumn="1" w:lastColumn="0" w:noHBand="0" w:noVBand="1"/>
        </w:tblPrEx>
        <w:tc>
          <w:tcPr>
            <w:tcW w:w="6421" w:type="dxa"/>
          </w:tcPr>
          <w:p w14:paraId="1ECA5D98" w14:textId="77777777" w:rsidR="00A70228" w:rsidRPr="00B02FBF" w:rsidRDefault="00A70228" w:rsidP="007A5B24">
            <w:pPr>
              <w:rPr>
                <w:rFonts w:ascii="Arial" w:hAnsi="Arial" w:cs="Arial"/>
                <w:b/>
                <w:sz w:val="24"/>
                <w:szCs w:val="24"/>
              </w:rPr>
            </w:pPr>
            <w:r>
              <w:rPr>
                <w:rFonts w:ascii="Arial" w:hAnsi="Arial" w:cs="Arial"/>
                <w:b/>
                <w:sz w:val="24"/>
                <w:szCs w:val="24"/>
              </w:rPr>
              <w:lastRenderedPageBreak/>
              <w:t xml:space="preserve">Performance Management Documents – Employee who works with children or vulnerable adults </w:t>
            </w:r>
          </w:p>
          <w:p w14:paraId="5475529B" w14:textId="77777777" w:rsidR="00A70228" w:rsidRPr="00B02FBF" w:rsidRDefault="00A70228" w:rsidP="007A5B24">
            <w:pPr>
              <w:rPr>
                <w:rFonts w:ascii="Arial" w:hAnsi="Arial" w:cs="Arial"/>
                <w:sz w:val="24"/>
                <w:szCs w:val="24"/>
              </w:rPr>
            </w:pPr>
          </w:p>
        </w:tc>
        <w:tc>
          <w:tcPr>
            <w:tcW w:w="1524" w:type="dxa"/>
          </w:tcPr>
          <w:p w14:paraId="33EEDB9A" w14:textId="77777777" w:rsidR="00A70228" w:rsidRDefault="00A70228" w:rsidP="007A5B24">
            <w:pPr>
              <w:rPr>
                <w:rFonts w:ascii="Arial" w:hAnsi="Arial" w:cs="Arial"/>
                <w:b/>
                <w:sz w:val="24"/>
                <w:szCs w:val="24"/>
              </w:rPr>
            </w:pPr>
          </w:p>
          <w:p w14:paraId="6D6B6DDF" w14:textId="77777777" w:rsidR="00A70228" w:rsidRPr="00B02FBF" w:rsidRDefault="00A70228" w:rsidP="007A5B24">
            <w:pPr>
              <w:rPr>
                <w:rFonts w:cs="Arial"/>
                <w:szCs w:val="24"/>
              </w:rPr>
            </w:pPr>
            <w:r>
              <w:rPr>
                <w:rFonts w:ascii="Arial" w:hAnsi="Arial" w:cs="Arial"/>
                <w:b/>
                <w:sz w:val="24"/>
                <w:szCs w:val="24"/>
              </w:rPr>
              <w:t>Duration Held for</w:t>
            </w:r>
          </w:p>
        </w:tc>
      </w:tr>
      <w:tr w:rsidR="00A70228" w:rsidRPr="00B02FBF" w14:paraId="51290D41" w14:textId="77777777" w:rsidTr="00A70228">
        <w:tblPrEx>
          <w:tblLook w:val="04A0" w:firstRow="1" w:lastRow="0" w:firstColumn="1" w:lastColumn="0" w:noHBand="0" w:noVBand="1"/>
        </w:tblPrEx>
        <w:tc>
          <w:tcPr>
            <w:tcW w:w="6421" w:type="dxa"/>
          </w:tcPr>
          <w:p w14:paraId="68949B85" w14:textId="77777777" w:rsidR="00A70228" w:rsidRPr="00B02FBF" w:rsidRDefault="00A70228" w:rsidP="007A5B24">
            <w:pPr>
              <w:rPr>
                <w:rFonts w:ascii="Arial" w:hAnsi="Arial" w:cs="Arial"/>
                <w:sz w:val="24"/>
                <w:szCs w:val="24"/>
              </w:rPr>
            </w:pPr>
            <w:r>
              <w:rPr>
                <w:rFonts w:ascii="Arial" w:hAnsi="Arial" w:cs="Arial"/>
                <w:sz w:val="24"/>
                <w:szCs w:val="24"/>
              </w:rPr>
              <w:t xml:space="preserve">Any written documents produced </w:t>
            </w:r>
            <w:proofErr w:type="gramStart"/>
            <w:r>
              <w:rPr>
                <w:rFonts w:ascii="Arial" w:hAnsi="Arial" w:cs="Arial"/>
                <w:sz w:val="24"/>
                <w:szCs w:val="24"/>
              </w:rPr>
              <w:t>as a result of</w:t>
            </w:r>
            <w:proofErr w:type="gramEnd"/>
            <w:r>
              <w:rPr>
                <w:rFonts w:ascii="Arial" w:hAnsi="Arial" w:cs="Arial"/>
                <w:sz w:val="24"/>
                <w:szCs w:val="24"/>
              </w:rPr>
              <w:t xml:space="preserve"> following the Managing Performance policy and procedure.</w:t>
            </w:r>
          </w:p>
        </w:tc>
        <w:tc>
          <w:tcPr>
            <w:tcW w:w="1524" w:type="dxa"/>
          </w:tcPr>
          <w:p w14:paraId="281F3B0C" w14:textId="77777777" w:rsidR="00A70228" w:rsidRDefault="00A70228" w:rsidP="007A5B24">
            <w:pPr>
              <w:rPr>
                <w:rFonts w:cs="Arial"/>
                <w:szCs w:val="24"/>
              </w:rPr>
            </w:pPr>
            <w:r>
              <w:rPr>
                <w:rFonts w:ascii="Arial" w:hAnsi="Arial" w:cs="Arial"/>
                <w:sz w:val="24"/>
                <w:szCs w:val="24"/>
              </w:rPr>
              <w:t>25</w:t>
            </w:r>
            <w:r w:rsidRPr="006D6721">
              <w:rPr>
                <w:rFonts w:ascii="Arial" w:hAnsi="Arial" w:cs="Arial"/>
                <w:sz w:val="24"/>
                <w:szCs w:val="24"/>
              </w:rPr>
              <w:t xml:space="preserve"> years</w:t>
            </w:r>
            <w:r>
              <w:rPr>
                <w:rFonts w:ascii="Arial" w:hAnsi="Arial" w:cs="Arial"/>
                <w:sz w:val="24"/>
                <w:szCs w:val="24"/>
              </w:rPr>
              <w:t xml:space="preserve"> post termination of employment</w:t>
            </w:r>
          </w:p>
        </w:tc>
      </w:tr>
    </w:tbl>
    <w:p w14:paraId="245950CE" w14:textId="2EEE64E9" w:rsidR="00F75CEF" w:rsidRDefault="00F75CEF" w:rsidP="009169DA">
      <w:pPr>
        <w:rPr>
          <w:rFonts w:cs="Arial"/>
          <w:szCs w:val="24"/>
        </w:rPr>
      </w:pPr>
    </w:p>
    <w:p w14:paraId="51625117" w14:textId="77777777" w:rsidR="00A70228" w:rsidRPr="00CE1584" w:rsidRDefault="00A70228" w:rsidP="00A70228">
      <w:pPr>
        <w:rPr>
          <w:rFonts w:cs="Arial"/>
          <w:b/>
          <w:szCs w:val="24"/>
        </w:rPr>
      </w:pPr>
      <w:r w:rsidRPr="00CE1584">
        <w:rPr>
          <w:rFonts w:cs="Arial"/>
          <w:b/>
          <w:szCs w:val="24"/>
        </w:rPr>
        <w:t>Your Rights</w:t>
      </w:r>
    </w:p>
    <w:p w14:paraId="43CDC7E1" w14:textId="77777777" w:rsidR="00A70228" w:rsidRDefault="00A70228" w:rsidP="00A70228">
      <w:pPr>
        <w:rPr>
          <w:rFonts w:cs="Arial"/>
          <w:szCs w:val="24"/>
        </w:rPr>
      </w:pPr>
      <w:r>
        <w:rPr>
          <w:rFonts w:cs="Arial"/>
          <w:szCs w:val="24"/>
        </w:rPr>
        <w:t>All employees</w:t>
      </w:r>
      <w:r w:rsidRPr="00CE1584">
        <w:rPr>
          <w:rFonts w:cs="Arial"/>
          <w:szCs w:val="24"/>
        </w:rPr>
        <w:t xml:space="preserve"> </w:t>
      </w:r>
      <w:r>
        <w:rPr>
          <w:rFonts w:cs="Arial"/>
          <w:szCs w:val="24"/>
        </w:rPr>
        <w:t xml:space="preserve">have </w:t>
      </w:r>
      <w:r w:rsidRPr="00CE1584">
        <w:rPr>
          <w:rFonts w:cs="Arial"/>
          <w:szCs w:val="24"/>
        </w:rPr>
        <w:t xml:space="preserve">legal rights about the way the Council handles and uses your data, including the right to ask for a copy of it, and to ask us to stop doing something with your data. More information about </w:t>
      </w:r>
      <w:proofErr w:type="gramStart"/>
      <w:r w:rsidRPr="00CE1584">
        <w:rPr>
          <w:rFonts w:cs="Arial"/>
          <w:szCs w:val="24"/>
        </w:rPr>
        <w:t>all of</w:t>
      </w:r>
      <w:proofErr w:type="gramEnd"/>
      <w:r w:rsidRPr="00CE1584">
        <w:rPr>
          <w:rFonts w:cs="Arial"/>
          <w:szCs w:val="24"/>
        </w:rPr>
        <w:t xml:space="preserve"> your rights is available on our website at: https://www.aberdeencity.gov.uk/your-data. You also have the right to make a complaint to the Information Commissioner’s Office, (www.ico.org.uk). They are the body responsible for making sure organisations like the Council handle your data lawfully.  Aberdeen City Council is the Data Controller for this data. If you’ve got any queries about your data, get in touch with the Council’s Dat</w:t>
      </w:r>
      <w:r>
        <w:rPr>
          <w:rFonts w:cs="Arial"/>
          <w:szCs w:val="24"/>
        </w:rPr>
        <w:t xml:space="preserve">a Protection Officer by email: </w:t>
      </w:r>
      <w:hyperlink r:id="rId6" w:history="1">
        <w:r w:rsidRPr="00112410">
          <w:rPr>
            <w:rStyle w:val="Hyperlink"/>
            <w:rFonts w:cs="Arial"/>
            <w:szCs w:val="24"/>
          </w:rPr>
          <w:t>DataProtectionOfficer@aberdeencity.gov.uk</w:t>
        </w:r>
      </w:hyperlink>
    </w:p>
    <w:p w14:paraId="4879EB7D" w14:textId="77777777" w:rsidR="00A70228" w:rsidRDefault="00A70228" w:rsidP="00A70228">
      <w:pPr>
        <w:rPr>
          <w:rFonts w:cs="Arial"/>
          <w:b/>
          <w:szCs w:val="24"/>
        </w:rPr>
      </w:pPr>
      <w:r>
        <w:rPr>
          <w:rFonts w:cs="Arial"/>
          <w:b/>
          <w:szCs w:val="24"/>
        </w:rPr>
        <w:t>The Legal Basis for processing your data</w:t>
      </w:r>
    </w:p>
    <w:p w14:paraId="084BF1B5" w14:textId="77777777" w:rsidR="00A70228" w:rsidRDefault="00A70228" w:rsidP="00A70228">
      <w:pPr>
        <w:spacing w:after="0" w:line="240" w:lineRule="auto"/>
        <w:rPr>
          <w:rFonts w:eastAsia="Calibri" w:cs="Arial"/>
          <w:szCs w:val="24"/>
        </w:rPr>
      </w:pPr>
      <w:r w:rsidRPr="00E06632">
        <w:rPr>
          <w:rFonts w:eastAsia="Calibri" w:cs="Arial"/>
          <w:szCs w:val="24"/>
        </w:rPr>
        <w:t>Whenever the Council processes personal data we need to make sure we have a basis for doing so in data protection law.  We understand our basis in data protection law to be Article 6(1)(b) of the General Data Protection Regulation (GDPR) because processing your personal information is necessary for us manage our relationship with you, as your employer.</w:t>
      </w:r>
    </w:p>
    <w:p w14:paraId="64845151" w14:textId="77777777" w:rsidR="00A70228" w:rsidRPr="00E06632" w:rsidRDefault="00A70228" w:rsidP="00A70228">
      <w:pPr>
        <w:spacing w:after="0" w:line="240" w:lineRule="auto"/>
        <w:rPr>
          <w:rFonts w:eastAsia="Calibri" w:cs="Arial"/>
          <w:szCs w:val="24"/>
        </w:rPr>
      </w:pPr>
    </w:p>
    <w:p w14:paraId="433082D7" w14:textId="77777777" w:rsidR="00A70228" w:rsidRPr="00E06632" w:rsidRDefault="00A70228" w:rsidP="00A70228">
      <w:pPr>
        <w:spacing w:after="0" w:line="240" w:lineRule="auto"/>
        <w:rPr>
          <w:rFonts w:cs="Arial"/>
          <w:szCs w:val="24"/>
        </w:rPr>
      </w:pPr>
      <w:r w:rsidRPr="00E06632">
        <w:rPr>
          <w:rFonts w:cs="Arial"/>
          <w:szCs w:val="24"/>
        </w:rPr>
        <w:t>As part of this relationship, the Council is also likely to process special categories of personal data. The Council understands our legal basis for doing so as Article 9(2)(b) of the GDPR as processing is necessary for carrying out our obligations in the field of employment.</w:t>
      </w:r>
    </w:p>
    <w:p w14:paraId="0AA20083" w14:textId="77777777" w:rsidR="00A70228" w:rsidRDefault="00A70228" w:rsidP="009169DA">
      <w:pPr>
        <w:rPr>
          <w:rFonts w:cs="Arial"/>
          <w:szCs w:val="24"/>
        </w:rPr>
      </w:pPr>
    </w:p>
    <w:p w14:paraId="1F32816C" w14:textId="6F9BCC72" w:rsidR="00F75CEF" w:rsidRDefault="00F75CEF" w:rsidP="009169DA">
      <w:pPr>
        <w:rPr>
          <w:rFonts w:cs="Arial"/>
          <w:szCs w:val="24"/>
        </w:rPr>
      </w:pPr>
    </w:p>
    <w:p w14:paraId="370352C9" w14:textId="158BB9A5" w:rsidR="00C77709" w:rsidRDefault="00C77709" w:rsidP="009169DA">
      <w:pPr>
        <w:rPr>
          <w:rFonts w:cs="Arial"/>
          <w:szCs w:val="24"/>
        </w:rPr>
      </w:pPr>
      <w:bookmarkStart w:id="2" w:name="_Hlk523226158"/>
    </w:p>
    <w:bookmarkEnd w:id="2"/>
    <w:sectPr w:rsidR="00C77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DA"/>
    <w:rsid w:val="000635E2"/>
    <w:rsid w:val="000E5FD4"/>
    <w:rsid w:val="002F189E"/>
    <w:rsid w:val="00300490"/>
    <w:rsid w:val="00392490"/>
    <w:rsid w:val="00545D1D"/>
    <w:rsid w:val="005E2B50"/>
    <w:rsid w:val="00651BEF"/>
    <w:rsid w:val="0089460D"/>
    <w:rsid w:val="009169DA"/>
    <w:rsid w:val="00A1445D"/>
    <w:rsid w:val="00A53864"/>
    <w:rsid w:val="00A70228"/>
    <w:rsid w:val="00B44E6A"/>
    <w:rsid w:val="00C77709"/>
    <w:rsid w:val="00CF2042"/>
    <w:rsid w:val="00D22075"/>
    <w:rsid w:val="00F75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036D"/>
  <w15:chartTrackingRefBased/>
  <w15:docId w15:val="{E1AC3313-8305-4F3E-AE0B-862E5343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9DA"/>
    <w:pPr>
      <w:spacing w:after="200" w:line="276" w:lineRule="auto"/>
    </w:pPr>
    <w:rPr>
      <w:rFonts w:eastAsia="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69DA"/>
    <w:rPr>
      <w:sz w:val="16"/>
      <w:szCs w:val="16"/>
    </w:rPr>
  </w:style>
  <w:style w:type="paragraph" w:styleId="CommentText">
    <w:name w:val="annotation text"/>
    <w:basedOn w:val="Normal"/>
    <w:link w:val="CommentTextChar"/>
    <w:uiPriority w:val="99"/>
    <w:semiHidden/>
    <w:unhideWhenUsed/>
    <w:rsid w:val="009169DA"/>
    <w:pPr>
      <w:spacing w:line="240" w:lineRule="auto"/>
    </w:pPr>
    <w:rPr>
      <w:sz w:val="20"/>
    </w:rPr>
  </w:style>
  <w:style w:type="character" w:customStyle="1" w:styleId="CommentTextChar">
    <w:name w:val="Comment Text Char"/>
    <w:basedOn w:val="DefaultParagraphFont"/>
    <w:link w:val="CommentText"/>
    <w:uiPriority w:val="99"/>
    <w:semiHidden/>
    <w:rsid w:val="009169DA"/>
    <w:rPr>
      <w:rFonts w:eastAsia="Times New Roman" w:cs="Times New Roman"/>
      <w:sz w:val="20"/>
      <w:szCs w:val="20"/>
      <w:lang w:eastAsia="en-GB"/>
    </w:rPr>
  </w:style>
  <w:style w:type="character" w:styleId="Hyperlink">
    <w:name w:val="Hyperlink"/>
    <w:basedOn w:val="DefaultParagraphFont"/>
    <w:uiPriority w:val="99"/>
    <w:unhideWhenUsed/>
    <w:rsid w:val="009169DA"/>
    <w:rPr>
      <w:color w:val="0563C1" w:themeColor="hyperlink"/>
      <w:u w:val="single"/>
    </w:rPr>
  </w:style>
  <w:style w:type="paragraph" w:styleId="BalloonText">
    <w:name w:val="Balloon Text"/>
    <w:basedOn w:val="Normal"/>
    <w:link w:val="BalloonTextChar"/>
    <w:uiPriority w:val="99"/>
    <w:semiHidden/>
    <w:unhideWhenUsed/>
    <w:rsid w:val="00916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9DA"/>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9169DA"/>
    <w:rPr>
      <w:color w:val="954F72" w:themeColor="followedHyperlink"/>
      <w:u w:val="single"/>
    </w:rPr>
  </w:style>
  <w:style w:type="table" w:styleId="TableGrid">
    <w:name w:val="Table Grid"/>
    <w:basedOn w:val="TableNormal"/>
    <w:rsid w:val="00A702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189E"/>
    <w:rPr>
      <w:b/>
      <w:bCs/>
    </w:rPr>
  </w:style>
  <w:style w:type="character" w:customStyle="1" w:styleId="CommentSubjectChar">
    <w:name w:val="Comment Subject Char"/>
    <w:basedOn w:val="CommentTextChar"/>
    <w:link w:val="CommentSubject"/>
    <w:uiPriority w:val="99"/>
    <w:semiHidden/>
    <w:rsid w:val="002F189E"/>
    <w:rPr>
      <w:rFonts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Officer@aberdeencity.gov.uk" TargetMode="External"/><Relationship Id="rId5" Type="http://schemas.openxmlformats.org/officeDocument/2006/relationships/hyperlink" Target="http://internalblog/wiki/index.php?title=Employee_Contract_Management_(Employee_Files)_-_employees_who_do_not_work_with_children_or_vulnerable_adults" TargetMode="External"/><Relationship Id="rId4" Type="http://schemas.openxmlformats.org/officeDocument/2006/relationships/hyperlink" Target="http://thezone/AskHR/YourEmployment/your_employmen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Forman</dc:creator>
  <cp:keywords/>
  <dc:description/>
  <cp:lastModifiedBy>David Forman</cp:lastModifiedBy>
  <cp:revision>12</cp:revision>
  <dcterms:created xsi:type="dcterms:W3CDTF">2018-08-22T09:52:00Z</dcterms:created>
  <dcterms:modified xsi:type="dcterms:W3CDTF">2018-08-29T16:18:00Z</dcterms:modified>
</cp:coreProperties>
</file>