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4AE" w:rsidRDefault="00E664AE" w:rsidP="00E664AE">
      <w:pPr>
        <w:pStyle w:val="Heading1"/>
        <w:rPr>
          <w:rFonts w:ascii="Verdana" w:hAnsi="Verdana"/>
          <w:sz w:val="22"/>
          <w:szCs w:val="22"/>
        </w:rPr>
      </w:pPr>
      <w:r>
        <w:rPr>
          <w:rFonts w:ascii="Verdana" w:hAnsi="Verdana"/>
          <w:sz w:val="22"/>
          <w:szCs w:val="22"/>
        </w:rPr>
        <w:t>Access to Work - Resource Pack</w:t>
      </w:r>
    </w:p>
    <w:p w:rsidR="00E664AE" w:rsidRDefault="00E664AE" w:rsidP="00E664AE">
      <w:pPr>
        <w:pStyle w:val="NormalWeb"/>
        <w:jc w:val="center"/>
        <w:rPr>
          <w:rFonts w:ascii="Verdana" w:hAnsi="Verdana"/>
          <w:sz w:val="17"/>
          <w:szCs w:val="17"/>
        </w:rPr>
      </w:pPr>
      <w:r>
        <w:rPr>
          <w:rFonts w:ascii="Verdana" w:hAnsi="Verdana"/>
          <w:noProof/>
          <w:color w:val="0000CC"/>
          <w:sz w:val="17"/>
          <w:szCs w:val="17"/>
        </w:rPr>
        <w:drawing>
          <wp:inline distT="0" distB="0" distL="0" distR="0">
            <wp:extent cx="2529205" cy="2553335"/>
            <wp:effectExtent l="0" t="0" r="4445" b="0"/>
            <wp:docPr id="2" name="Picture 2" descr="Access To Wor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 To Work">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9205" cy="2553335"/>
                    </a:xfrm>
                    <a:prstGeom prst="rect">
                      <a:avLst/>
                    </a:prstGeom>
                    <a:noFill/>
                    <a:ln>
                      <a:noFill/>
                    </a:ln>
                  </pic:spPr>
                </pic:pic>
              </a:graphicData>
            </a:graphic>
          </wp:inline>
        </w:drawing>
      </w:r>
    </w:p>
    <w:p w:rsidR="00E664AE" w:rsidRDefault="00E664AE" w:rsidP="00E664AE">
      <w:pPr>
        <w:pStyle w:val="NormalWeb"/>
        <w:rPr>
          <w:rFonts w:ascii="Verdana" w:hAnsi="Verdana"/>
          <w:sz w:val="17"/>
          <w:szCs w:val="17"/>
        </w:rPr>
      </w:pPr>
      <w:r>
        <w:rPr>
          <w:rFonts w:ascii="Verdana" w:hAnsi="Verdana"/>
          <w:sz w:val="17"/>
          <w:szCs w:val="17"/>
        </w:rPr>
        <w:t>Access to Work is a government run specialist disability programme which provides practical advice and support to disabled people and their employers to overcome work related obstacles resulting from their disability. It is the legal responsibility of employers under the Equality Act to provide reasonable adjustments to allow disabled staff to do their work. The Access to Work (</w:t>
      </w:r>
      <w:proofErr w:type="spellStart"/>
      <w:r>
        <w:rPr>
          <w:rFonts w:ascii="Verdana" w:hAnsi="Verdana"/>
          <w:sz w:val="17"/>
          <w:szCs w:val="17"/>
        </w:rPr>
        <w:t>AtW</w:t>
      </w:r>
      <w:proofErr w:type="spellEnd"/>
      <w:r>
        <w:rPr>
          <w:rFonts w:ascii="Verdana" w:hAnsi="Verdana"/>
          <w:sz w:val="17"/>
          <w:szCs w:val="17"/>
        </w:rPr>
        <w:t>) programme is intended to provide funding towards equipment and support that would be above and beyond what is reasonable for an employer to supply.</w:t>
      </w:r>
    </w:p>
    <w:p w:rsidR="00E664AE" w:rsidRDefault="00E664AE" w:rsidP="00E664AE">
      <w:pPr>
        <w:pStyle w:val="NormalWeb"/>
        <w:rPr>
          <w:rFonts w:ascii="Verdana" w:hAnsi="Verdana"/>
          <w:sz w:val="17"/>
          <w:szCs w:val="17"/>
        </w:rPr>
      </w:pPr>
      <w:r>
        <w:rPr>
          <w:rFonts w:ascii="Verdana" w:hAnsi="Verdana"/>
          <w:sz w:val="17"/>
          <w:szCs w:val="17"/>
        </w:rPr>
        <w:t xml:space="preserve">In addition to supporting disabled people who are starting or already in work or self-employment, over recent months the </w:t>
      </w:r>
      <w:proofErr w:type="spellStart"/>
      <w:r>
        <w:rPr>
          <w:rFonts w:ascii="Verdana" w:hAnsi="Verdana"/>
          <w:sz w:val="17"/>
          <w:szCs w:val="17"/>
        </w:rPr>
        <w:t>AtW</w:t>
      </w:r>
      <w:proofErr w:type="spellEnd"/>
      <w:r>
        <w:rPr>
          <w:rFonts w:ascii="Verdana" w:hAnsi="Verdana"/>
          <w:sz w:val="17"/>
          <w:szCs w:val="17"/>
        </w:rPr>
        <w:t xml:space="preserve"> scheme has been opened up to support more young disabled people on traineeships, supported internships and work academies. It is also planned to open up the scheme further to disabled people who find their own work trials and work placements with an employer, where there is a 'realistic prospect' of a job at the end of it.</w:t>
      </w:r>
    </w:p>
    <w:p w:rsidR="00E664AE" w:rsidRDefault="00E664AE" w:rsidP="00E664AE">
      <w:pPr>
        <w:pStyle w:val="NormalWeb"/>
        <w:rPr>
          <w:rFonts w:ascii="Verdana" w:hAnsi="Verdana"/>
          <w:sz w:val="17"/>
          <w:szCs w:val="17"/>
        </w:rPr>
      </w:pPr>
      <w:r>
        <w:rPr>
          <w:rFonts w:ascii="Verdana" w:hAnsi="Verdana"/>
          <w:sz w:val="17"/>
          <w:szCs w:val="17"/>
        </w:rPr>
        <w:t>We hope you find this resource pack useful.</w:t>
      </w:r>
    </w:p>
    <w:p w:rsidR="00E664AE" w:rsidRDefault="00E664AE" w:rsidP="00E664AE">
      <w:pPr>
        <w:pStyle w:val="Heading4"/>
        <w:rPr>
          <w:rFonts w:ascii="Verdana" w:hAnsi="Verdana"/>
          <w:sz w:val="17"/>
          <w:szCs w:val="17"/>
        </w:rPr>
      </w:pPr>
      <w:r>
        <w:rPr>
          <w:rFonts w:ascii="Verdana" w:hAnsi="Verdana"/>
          <w:sz w:val="17"/>
          <w:szCs w:val="17"/>
        </w:rPr>
        <w:t>Introduction</w:t>
      </w:r>
    </w:p>
    <w:p w:rsidR="00E664AE" w:rsidRDefault="00E664AE" w:rsidP="00E664AE">
      <w:pPr>
        <w:numPr>
          <w:ilvl w:val="0"/>
          <w:numId w:val="5"/>
        </w:numPr>
        <w:spacing w:before="100" w:beforeAutospacing="1" w:after="100" w:afterAutospacing="1" w:line="240" w:lineRule="auto"/>
        <w:rPr>
          <w:rFonts w:ascii="Verdana" w:hAnsi="Verdana"/>
          <w:sz w:val="17"/>
          <w:szCs w:val="17"/>
        </w:rPr>
      </w:pPr>
      <w:hyperlink r:id="rId7" w:history="1">
        <w:r>
          <w:rPr>
            <w:rStyle w:val="Hyperlink"/>
            <w:rFonts w:ascii="Verdana" w:hAnsi="Verdana"/>
            <w:sz w:val="17"/>
            <w:szCs w:val="17"/>
          </w:rPr>
          <w:t>An Introduction to Access to Work</w:t>
        </w:r>
      </w:hyperlink>
      <w:r>
        <w:rPr>
          <w:rFonts w:ascii="Verdana" w:hAnsi="Verdana"/>
          <w:color w:val="000000"/>
          <w:sz w:val="17"/>
          <w:szCs w:val="17"/>
        </w:rPr>
        <w:t> - Presentation (with notes)</w:t>
      </w:r>
      <w:r>
        <w:rPr>
          <w:rFonts w:ascii="Verdana" w:hAnsi="Verdana"/>
          <w:sz w:val="17"/>
          <w:szCs w:val="17"/>
        </w:rPr>
        <w:t xml:space="preserve"> </w:t>
      </w:r>
    </w:p>
    <w:p w:rsidR="00E664AE" w:rsidRDefault="00E664AE" w:rsidP="00E664AE">
      <w:pPr>
        <w:numPr>
          <w:ilvl w:val="0"/>
          <w:numId w:val="5"/>
        </w:numPr>
        <w:spacing w:before="100" w:beforeAutospacing="1" w:after="100" w:afterAutospacing="1" w:line="240" w:lineRule="auto"/>
        <w:rPr>
          <w:rFonts w:ascii="Verdana" w:hAnsi="Verdana"/>
          <w:sz w:val="17"/>
          <w:szCs w:val="17"/>
        </w:rPr>
      </w:pPr>
      <w:hyperlink r:id="rId8" w:history="1">
        <w:r>
          <w:rPr>
            <w:rStyle w:val="Hyperlink"/>
            <w:rFonts w:ascii="Verdana" w:hAnsi="Verdana"/>
            <w:sz w:val="17"/>
            <w:szCs w:val="17"/>
          </w:rPr>
          <w:t>Access to Work leaflet</w:t>
        </w:r>
      </w:hyperlink>
      <w:r>
        <w:rPr>
          <w:rFonts w:ascii="Verdana" w:hAnsi="Verdana"/>
          <w:sz w:val="17"/>
          <w:szCs w:val="17"/>
        </w:rPr>
        <w:t xml:space="preserve"> </w:t>
      </w:r>
    </w:p>
    <w:p w:rsidR="00E664AE" w:rsidRDefault="00E664AE" w:rsidP="00E664AE">
      <w:pPr>
        <w:pStyle w:val="Heading4"/>
        <w:rPr>
          <w:rFonts w:ascii="Verdana" w:hAnsi="Verdana"/>
          <w:sz w:val="17"/>
          <w:szCs w:val="17"/>
        </w:rPr>
      </w:pPr>
      <w:r>
        <w:rPr>
          <w:rFonts w:ascii="Verdana" w:hAnsi="Verdana"/>
          <w:sz w:val="17"/>
          <w:szCs w:val="17"/>
        </w:rPr>
        <w:t>Factsheets</w:t>
      </w:r>
    </w:p>
    <w:p w:rsidR="00E664AE" w:rsidRDefault="00E664AE" w:rsidP="00E664AE">
      <w:pPr>
        <w:numPr>
          <w:ilvl w:val="0"/>
          <w:numId w:val="6"/>
        </w:numPr>
        <w:spacing w:before="100" w:beforeAutospacing="1" w:after="100" w:afterAutospacing="1" w:line="240" w:lineRule="auto"/>
        <w:rPr>
          <w:rFonts w:ascii="Verdana" w:hAnsi="Verdana"/>
          <w:sz w:val="17"/>
          <w:szCs w:val="17"/>
        </w:rPr>
      </w:pPr>
      <w:hyperlink r:id="rId9" w:history="1">
        <w:r>
          <w:rPr>
            <w:rStyle w:val="Hyperlink"/>
            <w:rFonts w:ascii="Verdana" w:hAnsi="Verdana"/>
            <w:sz w:val="17"/>
            <w:szCs w:val="17"/>
          </w:rPr>
          <w:t>Access to Work - Guide for Employees</w:t>
        </w:r>
      </w:hyperlink>
      <w:r>
        <w:rPr>
          <w:rFonts w:ascii="Verdana" w:hAnsi="Verdana"/>
          <w:sz w:val="17"/>
          <w:szCs w:val="17"/>
        </w:rPr>
        <w:t xml:space="preserve"> </w:t>
      </w:r>
    </w:p>
    <w:p w:rsidR="00E664AE" w:rsidRDefault="00E664AE" w:rsidP="00E664AE">
      <w:pPr>
        <w:numPr>
          <w:ilvl w:val="0"/>
          <w:numId w:val="6"/>
        </w:numPr>
        <w:spacing w:before="100" w:beforeAutospacing="1" w:after="100" w:afterAutospacing="1" w:line="240" w:lineRule="auto"/>
        <w:rPr>
          <w:rFonts w:ascii="Verdana" w:hAnsi="Verdana"/>
          <w:sz w:val="17"/>
          <w:szCs w:val="17"/>
        </w:rPr>
      </w:pPr>
      <w:hyperlink r:id="rId10" w:history="1">
        <w:r>
          <w:rPr>
            <w:rStyle w:val="Hyperlink"/>
            <w:rFonts w:ascii="Verdana" w:hAnsi="Verdana"/>
            <w:sz w:val="17"/>
            <w:szCs w:val="17"/>
          </w:rPr>
          <w:t>Access to Work - Guide for Managers</w:t>
        </w:r>
      </w:hyperlink>
      <w:r>
        <w:rPr>
          <w:rFonts w:ascii="Verdana" w:hAnsi="Verdana"/>
          <w:sz w:val="17"/>
          <w:szCs w:val="17"/>
        </w:rPr>
        <w:t xml:space="preserve"> </w:t>
      </w:r>
    </w:p>
    <w:p w:rsidR="00E664AE" w:rsidRDefault="00E664AE" w:rsidP="00E664AE">
      <w:pPr>
        <w:pStyle w:val="Heading4"/>
        <w:rPr>
          <w:rFonts w:ascii="Verdana" w:hAnsi="Verdana"/>
          <w:sz w:val="17"/>
          <w:szCs w:val="17"/>
        </w:rPr>
      </w:pPr>
      <w:r>
        <w:rPr>
          <w:rFonts w:ascii="Verdana" w:hAnsi="Verdana"/>
          <w:sz w:val="17"/>
          <w:szCs w:val="17"/>
        </w:rPr>
        <w:t>Case Studies</w:t>
      </w:r>
    </w:p>
    <w:p w:rsidR="00E664AE" w:rsidRDefault="00E664AE" w:rsidP="00E664AE">
      <w:pPr>
        <w:numPr>
          <w:ilvl w:val="0"/>
          <w:numId w:val="7"/>
        </w:numPr>
        <w:spacing w:before="100" w:beforeAutospacing="1" w:after="100" w:afterAutospacing="1" w:line="240" w:lineRule="auto"/>
        <w:rPr>
          <w:rFonts w:ascii="Verdana" w:hAnsi="Verdana"/>
          <w:sz w:val="17"/>
          <w:szCs w:val="17"/>
        </w:rPr>
      </w:pPr>
      <w:hyperlink r:id="rId11" w:history="1">
        <w:r>
          <w:rPr>
            <w:rStyle w:val="Hyperlink"/>
            <w:rFonts w:ascii="Verdana" w:hAnsi="Verdana"/>
            <w:sz w:val="17"/>
            <w:szCs w:val="17"/>
          </w:rPr>
          <w:t>Case Study - Danny</w:t>
        </w:r>
      </w:hyperlink>
      <w:r>
        <w:rPr>
          <w:rFonts w:ascii="Verdana" w:hAnsi="Verdana"/>
          <w:sz w:val="17"/>
          <w:szCs w:val="17"/>
        </w:rPr>
        <w:t xml:space="preserve"> </w:t>
      </w:r>
    </w:p>
    <w:p w:rsidR="00E664AE" w:rsidRDefault="00E664AE" w:rsidP="00E664AE">
      <w:pPr>
        <w:numPr>
          <w:ilvl w:val="0"/>
          <w:numId w:val="7"/>
        </w:numPr>
        <w:spacing w:before="100" w:beforeAutospacing="1" w:after="100" w:afterAutospacing="1" w:line="240" w:lineRule="auto"/>
        <w:rPr>
          <w:rFonts w:ascii="Verdana" w:hAnsi="Verdana"/>
          <w:sz w:val="17"/>
          <w:szCs w:val="17"/>
        </w:rPr>
      </w:pPr>
      <w:hyperlink r:id="rId12" w:history="1">
        <w:r>
          <w:rPr>
            <w:rStyle w:val="Hyperlink"/>
            <w:rFonts w:ascii="Verdana" w:hAnsi="Verdana"/>
            <w:sz w:val="17"/>
            <w:szCs w:val="17"/>
          </w:rPr>
          <w:t>Case Study - David</w:t>
        </w:r>
      </w:hyperlink>
      <w:r>
        <w:rPr>
          <w:rFonts w:ascii="Verdana" w:hAnsi="Verdana"/>
          <w:sz w:val="17"/>
          <w:szCs w:val="17"/>
        </w:rPr>
        <w:t xml:space="preserve"> </w:t>
      </w:r>
    </w:p>
    <w:p w:rsidR="00E664AE" w:rsidRDefault="00E664AE" w:rsidP="00E664AE">
      <w:pPr>
        <w:numPr>
          <w:ilvl w:val="0"/>
          <w:numId w:val="7"/>
        </w:numPr>
        <w:spacing w:before="100" w:beforeAutospacing="1" w:after="100" w:afterAutospacing="1" w:line="240" w:lineRule="auto"/>
        <w:rPr>
          <w:rFonts w:ascii="Verdana" w:hAnsi="Verdana"/>
          <w:sz w:val="17"/>
          <w:szCs w:val="17"/>
        </w:rPr>
      </w:pPr>
      <w:hyperlink r:id="rId13" w:history="1">
        <w:r>
          <w:rPr>
            <w:rStyle w:val="Hyperlink"/>
            <w:rFonts w:ascii="Verdana" w:hAnsi="Verdana"/>
            <w:sz w:val="17"/>
            <w:szCs w:val="17"/>
          </w:rPr>
          <w:t>Case Study - Emily</w:t>
        </w:r>
      </w:hyperlink>
      <w:r>
        <w:rPr>
          <w:rFonts w:ascii="Verdana" w:hAnsi="Verdana"/>
          <w:sz w:val="17"/>
          <w:szCs w:val="17"/>
        </w:rPr>
        <w:t xml:space="preserve"> </w:t>
      </w:r>
    </w:p>
    <w:p w:rsidR="00E664AE" w:rsidRDefault="00E664AE" w:rsidP="00E664AE">
      <w:pPr>
        <w:numPr>
          <w:ilvl w:val="0"/>
          <w:numId w:val="7"/>
        </w:numPr>
        <w:spacing w:before="100" w:beforeAutospacing="1" w:after="100" w:afterAutospacing="1" w:line="240" w:lineRule="auto"/>
        <w:rPr>
          <w:rFonts w:ascii="Verdana" w:hAnsi="Verdana"/>
          <w:sz w:val="17"/>
          <w:szCs w:val="17"/>
        </w:rPr>
      </w:pPr>
      <w:hyperlink r:id="rId14" w:history="1">
        <w:r>
          <w:rPr>
            <w:rStyle w:val="Hyperlink"/>
            <w:rFonts w:ascii="Verdana" w:hAnsi="Verdana"/>
            <w:sz w:val="17"/>
            <w:szCs w:val="17"/>
          </w:rPr>
          <w:t>Case Study - Janet</w:t>
        </w:r>
      </w:hyperlink>
      <w:r>
        <w:rPr>
          <w:rFonts w:ascii="Verdana" w:hAnsi="Verdana"/>
          <w:sz w:val="17"/>
          <w:szCs w:val="17"/>
        </w:rPr>
        <w:t xml:space="preserve"> </w:t>
      </w:r>
    </w:p>
    <w:p w:rsidR="00E664AE" w:rsidRDefault="00E664AE" w:rsidP="00E664AE">
      <w:pPr>
        <w:numPr>
          <w:ilvl w:val="0"/>
          <w:numId w:val="7"/>
        </w:numPr>
        <w:spacing w:before="100" w:beforeAutospacing="1" w:after="100" w:afterAutospacing="1" w:line="240" w:lineRule="auto"/>
        <w:rPr>
          <w:rFonts w:ascii="Verdana" w:hAnsi="Verdana"/>
          <w:sz w:val="17"/>
          <w:szCs w:val="17"/>
        </w:rPr>
      </w:pPr>
      <w:hyperlink r:id="rId15" w:history="1">
        <w:r>
          <w:rPr>
            <w:rStyle w:val="Hyperlink"/>
            <w:rFonts w:ascii="Verdana" w:hAnsi="Verdana"/>
            <w:sz w:val="17"/>
            <w:szCs w:val="17"/>
          </w:rPr>
          <w:t>Case Study - Karan</w:t>
        </w:r>
      </w:hyperlink>
      <w:r>
        <w:rPr>
          <w:rFonts w:ascii="Verdana" w:hAnsi="Verdana"/>
          <w:sz w:val="17"/>
          <w:szCs w:val="17"/>
        </w:rPr>
        <w:t xml:space="preserve"> </w:t>
      </w:r>
    </w:p>
    <w:p w:rsidR="00E664AE" w:rsidRDefault="00E664AE" w:rsidP="00E664AE">
      <w:pPr>
        <w:numPr>
          <w:ilvl w:val="0"/>
          <w:numId w:val="7"/>
        </w:numPr>
        <w:spacing w:before="100" w:beforeAutospacing="1" w:after="100" w:afterAutospacing="1" w:line="240" w:lineRule="auto"/>
        <w:rPr>
          <w:rFonts w:ascii="Verdana" w:hAnsi="Verdana"/>
          <w:sz w:val="17"/>
          <w:szCs w:val="17"/>
        </w:rPr>
      </w:pPr>
      <w:hyperlink r:id="rId16" w:history="1">
        <w:r>
          <w:rPr>
            <w:rStyle w:val="Hyperlink"/>
            <w:rFonts w:ascii="Verdana" w:hAnsi="Verdana"/>
            <w:sz w:val="17"/>
            <w:szCs w:val="17"/>
          </w:rPr>
          <w:t>Case Study - Nicola</w:t>
        </w:r>
      </w:hyperlink>
      <w:r>
        <w:rPr>
          <w:rFonts w:ascii="Verdana" w:hAnsi="Verdana"/>
          <w:sz w:val="17"/>
          <w:szCs w:val="17"/>
        </w:rPr>
        <w:t xml:space="preserve"> </w:t>
      </w:r>
    </w:p>
    <w:p w:rsidR="00E664AE" w:rsidRDefault="00E664AE" w:rsidP="00E664AE">
      <w:pPr>
        <w:numPr>
          <w:ilvl w:val="0"/>
          <w:numId w:val="7"/>
        </w:numPr>
        <w:spacing w:before="100" w:beforeAutospacing="1" w:after="100" w:afterAutospacing="1" w:line="240" w:lineRule="auto"/>
        <w:rPr>
          <w:rFonts w:ascii="Verdana" w:hAnsi="Verdana"/>
          <w:sz w:val="17"/>
          <w:szCs w:val="17"/>
        </w:rPr>
      </w:pPr>
      <w:hyperlink r:id="rId17" w:history="1">
        <w:r>
          <w:rPr>
            <w:rStyle w:val="Hyperlink"/>
            <w:rFonts w:ascii="Verdana" w:hAnsi="Verdana"/>
            <w:sz w:val="17"/>
            <w:szCs w:val="17"/>
          </w:rPr>
          <w:t>Case Study - Ryan</w:t>
        </w:r>
      </w:hyperlink>
      <w:r>
        <w:rPr>
          <w:rFonts w:ascii="Verdana" w:hAnsi="Verdana"/>
          <w:sz w:val="17"/>
          <w:szCs w:val="17"/>
        </w:rPr>
        <w:t xml:space="preserve"> </w:t>
      </w:r>
    </w:p>
    <w:p w:rsidR="00E664AE" w:rsidRDefault="00E664AE" w:rsidP="00E664AE">
      <w:pPr>
        <w:pStyle w:val="Heading4"/>
        <w:rPr>
          <w:rFonts w:ascii="Verdana" w:hAnsi="Verdana"/>
          <w:sz w:val="17"/>
          <w:szCs w:val="17"/>
        </w:rPr>
      </w:pPr>
      <w:r>
        <w:rPr>
          <w:rFonts w:ascii="Verdana" w:hAnsi="Verdana"/>
          <w:sz w:val="17"/>
          <w:szCs w:val="17"/>
        </w:rPr>
        <w:t>FAQs</w:t>
      </w:r>
    </w:p>
    <w:p w:rsidR="00E664AE" w:rsidRDefault="00E664AE" w:rsidP="00E664AE">
      <w:pPr>
        <w:numPr>
          <w:ilvl w:val="0"/>
          <w:numId w:val="8"/>
        </w:numPr>
        <w:spacing w:before="100" w:beforeAutospacing="1" w:after="100" w:afterAutospacing="1" w:line="240" w:lineRule="auto"/>
        <w:rPr>
          <w:rFonts w:ascii="Verdana" w:hAnsi="Verdana"/>
          <w:sz w:val="17"/>
          <w:szCs w:val="17"/>
        </w:rPr>
      </w:pPr>
      <w:hyperlink r:id="rId18" w:history="1">
        <w:r>
          <w:rPr>
            <w:rStyle w:val="Hyperlink"/>
            <w:rFonts w:ascii="Verdana" w:hAnsi="Verdana"/>
            <w:sz w:val="17"/>
            <w:szCs w:val="17"/>
          </w:rPr>
          <w:t>Frequently Asked Questions on using Access to Work</w:t>
        </w:r>
      </w:hyperlink>
      <w:r>
        <w:rPr>
          <w:rFonts w:ascii="Verdana" w:hAnsi="Verdana"/>
          <w:sz w:val="17"/>
          <w:szCs w:val="17"/>
        </w:rPr>
        <w:t xml:space="preserve"> </w:t>
      </w:r>
    </w:p>
    <w:p w:rsidR="00E664AE" w:rsidRDefault="00E664AE" w:rsidP="00E664AE">
      <w:pPr>
        <w:pStyle w:val="NormalWeb"/>
        <w:rPr>
          <w:rFonts w:ascii="Verdana" w:hAnsi="Verdana"/>
          <w:sz w:val="17"/>
          <w:szCs w:val="17"/>
        </w:rPr>
      </w:pPr>
      <w:r>
        <w:rPr>
          <w:rFonts w:ascii="Verdana" w:hAnsi="Verdana"/>
          <w:sz w:val="17"/>
          <w:szCs w:val="17"/>
        </w:rPr>
        <w:lastRenderedPageBreak/>
        <w:t> </w:t>
      </w:r>
    </w:p>
    <w:p w:rsidR="00E664AE" w:rsidRDefault="00E664AE" w:rsidP="00E664AE">
      <w:pPr>
        <w:pStyle w:val="Heading2"/>
        <w:rPr>
          <w:rFonts w:ascii="Verdana" w:hAnsi="Verdana"/>
          <w:sz w:val="20"/>
          <w:szCs w:val="20"/>
        </w:rPr>
      </w:pPr>
      <w:r>
        <w:rPr>
          <w:rFonts w:ascii="Verdana" w:hAnsi="Verdana"/>
          <w:sz w:val="20"/>
          <w:szCs w:val="20"/>
        </w:rPr>
        <w:t>Mental Health Support Service</w:t>
      </w:r>
    </w:p>
    <w:p w:rsidR="00E664AE" w:rsidRDefault="00E664AE" w:rsidP="00E664AE">
      <w:pPr>
        <w:pStyle w:val="NormalWeb"/>
        <w:rPr>
          <w:rFonts w:ascii="Verdana" w:hAnsi="Verdana"/>
          <w:sz w:val="17"/>
          <w:szCs w:val="17"/>
        </w:rPr>
      </w:pPr>
      <w:r>
        <w:rPr>
          <w:rFonts w:ascii="Verdana" w:hAnsi="Verdana"/>
          <w:color w:val="000000"/>
          <w:sz w:val="17"/>
          <w:szCs w:val="17"/>
        </w:rPr>
        <w:t> </w:t>
      </w:r>
    </w:p>
    <w:p w:rsidR="00E664AE" w:rsidRDefault="00E664AE" w:rsidP="00E664AE">
      <w:pPr>
        <w:pStyle w:val="NormalWeb"/>
        <w:jc w:val="center"/>
        <w:rPr>
          <w:rFonts w:ascii="Verdana" w:hAnsi="Verdana"/>
          <w:sz w:val="17"/>
          <w:szCs w:val="17"/>
        </w:rPr>
      </w:pPr>
      <w:r>
        <w:rPr>
          <w:rFonts w:ascii="Verdana" w:hAnsi="Verdana"/>
          <w:noProof/>
          <w:color w:val="0000CC"/>
          <w:sz w:val="17"/>
          <w:szCs w:val="17"/>
        </w:rPr>
        <w:drawing>
          <wp:inline distT="0" distB="0" distL="0" distR="0">
            <wp:extent cx="2066290" cy="2921635"/>
            <wp:effectExtent l="0" t="0" r="0" b="0"/>
            <wp:docPr id="1" name="Picture 1" descr="Mental Health Support Servic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tal Health Support Service">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66290" cy="2921635"/>
                    </a:xfrm>
                    <a:prstGeom prst="rect">
                      <a:avLst/>
                    </a:prstGeom>
                    <a:noFill/>
                    <a:ln>
                      <a:noFill/>
                    </a:ln>
                  </pic:spPr>
                </pic:pic>
              </a:graphicData>
            </a:graphic>
          </wp:inline>
        </w:drawing>
      </w:r>
    </w:p>
    <w:p w:rsidR="00E664AE" w:rsidRDefault="00E664AE" w:rsidP="00E664AE">
      <w:pPr>
        <w:pStyle w:val="NormalWeb"/>
        <w:rPr>
          <w:rFonts w:ascii="Verdana" w:hAnsi="Verdana"/>
          <w:sz w:val="17"/>
          <w:szCs w:val="17"/>
        </w:rPr>
      </w:pPr>
      <w:r>
        <w:rPr>
          <w:rFonts w:ascii="Verdana" w:hAnsi="Verdana"/>
          <w:sz w:val="17"/>
          <w:szCs w:val="17"/>
        </w:rPr>
        <w:t>In addition, through Access to Work, specialised support is available to individuals with a mental health condition, who are absent from work or finding work difficult and includes:</w:t>
      </w:r>
    </w:p>
    <w:p w:rsidR="00E664AE" w:rsidRDefault="00E664AE" w:rsidP="00E664AE">
      <w:pPr>
        <w:numPr>
          <w:ilvl w:val="0"/>
          <w:numId w:val="9"/>
        </w:numPr>
        <w:spacing w:before="100" w:beforeAutospacing="1" w:after="100" w:afterAutospacing="1" w:line="240" w:lineRule="auto"/>
        <w:rPr>
          <w:rFonts w:ascii="Verdana" w:hAnsi="Verdana"/>
          <w:sz w:val="17"/>
          <w:szCs w:val="17"/>
        </w:rPr>
      </w:pPr>
      <w:r>
        <w:rPr>
          <w:rFonts w:ascii="Verdana" w:hAnsi="Verdana"/>
          <w:sz w:val="17"/>
          <w:szCs w:val="17"/>
        </w:rPr>
        <w:t xml:space="preserve">Work focused mental health support, tailored to the individual </w:t>
      </w:r>
    </w:p>
    <w:p w:rsidR="00E664AE" w:rsidRDefault="00E664AE" w:rsidP="00E664AE">
      <w:pPr>
        <w:numPr>
          <w:ilvl w:val="0"/>
          <w:numId w:val="9"/>
        </w:numPr>
        <w:spacing w:before="100" w:beforeAutospacing="1" w:after="100" w:afterAutospacing="1" w:line="240" w:lineRule="auto"/>
        <w:rPr>
          <w:rFonts w:ascii="Verdana" w:hAnsi="Verdana"/>
          <w:sz w:val="17"/>
          <w:szCs w:val="17"/>
        </w:rPr>
      </w:pPr>
      <w:r>
        <w:rPr>
          <w:rFonts w:ascii="Verdana" w:hAnsi="Verdana"/>
          <w:sz w:val="17"/>
          <w:szCs w:val="17"/>
        </w:rPr>
        <w:t xml:space="preserve">Assessment of an individual's needs to identify coping strategies </w:t>
      </w:r>
    </w:p>
    <w:p w:rsidR="00E664AE" w:rsidRDefault="00E664AE" w:rsidP="00E664AE">
      <w:pPr>
        <w:numPr>
          <w:ilvl w:val="0"/>
          <w:numId w:val="9"/>
        </w:numPr>
        <w:spacing w:before="100" w:beforeAutospacing="1" w:after="100" w:afterAutospacing="1" w:line="240" w:lineRule="auto"/>
        <w:rPr>
          <w:rFonts w:ascii="Verdana" w:hAnsi="Verdana"/>
          <w:sz w:val="17"/>
          <w:szCs w:val="17"/>
        </w:rPr>
      </w:pPr>
      <w:r>
        <w:rPr>
          <w:rFonts w:ascii="Verdana" w:hAnsi="Verdana"/>
          <w:sz w:val="17"/>
          <w:szCs w:val="17"/>
        </w:rPr>
        <w:t xml:space="preserve">A personalised support plan, detailing the steps needed to remain in, or return to, work </w:t>
      </w:r>
    </w:p>
    <w:p w:rsidR="00E664AE" w:rsidRDefault="00E664AE" w:rsidP="00E664AE">
      <w:pPr>
        <w:numPr>
          <w:ilvl w:val="0"/>
          <w:numId w:val="9"/>
        </w:numPr>
        <w:spacing w:before="100" w:beforeAutospacing="1" w:after="100" w:afterAutospacing="1" w:line="240" w:lineRule="auto"/>
        <w:rPr>
          <w:rFonts w:ascii="Verdana" w:hAnsi="Verdana"/>
          <w:sz w:val="17"/>
          <w:szCs w:val="17"/>
        </w:rPr>
      </w:pPr>
      <w:r>
        <w:rPr>
          <w:rFonts w:ascii="Verdana" w:hAnsi="Verdana"/>
          <w:sz w:val="17"/>
          <w:szCs w:val="17"/>
        </w:rPr>
        <w:t xml:space="preserve">Suggestions for reasonable adjustments in the workplace, or in working practices </w:t>
      </w:r>
    </w:p>
    <w:p w:rsidR="00E664AE" w:rsidRDefault="00E664AE" w:rsidP="00E664AE">
      <w:pPr>
        <w:numPr>
          <w:ilvl w:val="0"/>
          <w:numId w:val="9"/>
        </w:numPr>
        <w:spacing w:before="100" w:beforeAutospacing="1" w:after="100" w:afterAutospacing="1" w:line="240" w:lineRule="auto"/>
        <w:rPr>
          <w:rFonts w:ascii="Verdana" w:hAnsi="Verdana"/>
          <w:sz w:val="17"/>
          <w:szCs w:val="17"/>
        </w:rPr>
      </w:pPr>
      <w:r>
        <w:rPr>
          <w:rFonts w:ascii="Verdana" w:hAnsi="Verdana"/>
          <w:sz w:val="17"/>
          <w:szCs w:val="17"/>
        </w:rPr>
        <w:t xml:space="preserve">Advice and guidance to enable employers to fully understand mental health and how they can support employees who have a mental health condition </w:t>
      </w:r>
    </w:p>
    <w:p w:rsidR="00E664AE" w:rsidRDefault="00E664AE" w:rsidP="00E664AE">
      <w:pPr>
        <w:pStyle w:val="NormalWeb"/>
        <w:rPr>
          <w:rFonts w:ascii="Verdana" w:hAnsi="Verdana"/>
          <w:sz w:val="17"/>
          <w:szCs w:val="17"/>
        </w:rPr>
      </w:pPr>
      <w:r>
        <w:rPr>
          <w:rFonts w:ascii="Verdana" w:hAnsi="Verdana"/>
          <w:sz w:val="17"/>
          <w:szCs w:val="17"/>
        </w:rPr>
        <w:t>This is a confidential and impartial service and  consultants are fully trained professionals with specialist expertise in mental health and its impact on the workplace.</w:t>
      </w:r>
    </w:p>
    <w:p w:rsidR="00E664AE" w:rsidRDefault="00E664AE" w:rsidP="00E664AE">
      <w:pPr>
        <w:numPr>
          <w:ilvl w:val="0"/>
          <w:numId w:val="10"/>
        </w:numPr>
        <w:spacing w:before="100" w:beforeAutospacing="1" w:after="100" w:afterAutospacing="1" w:line="240" w:lineRule="auto"/>
        <w:rPr>
          <w:rFonts w:ascii="Verdana" w:hAnsi="Verdana"/>
          <w:sz w:val="17"/>
          <w:szCs w:val="17"/>
        </w:rPr>
      </w:pPr>
      <w:hyperlink r:id="rId21" w:history="1">
        <w:r>
          <w:rPr>
            <w:rStyle w:val="Hyperlink"/>
            <w:rFonts w:ascii="Verdana" w:hAnsi="Verdana"/>
            <w:sz w:val="17"/>
            <w:szCs w:val="17"/>
          </w:rPr>
          <w:t>Mental Health Support Service Leaflet</w:t>
        </w:r>
      </w:hyperlink>
      <w:r>
        <w:rPr>
          <w:rFonts w:ascii="Verdana" w:hAnsi="Verdana"/>
          <w:sz w:val="17"/>
          <w:szCs w:val="17"/>
        </w:rPr>
        <w:t xml:space="preserve"> </w:t>
      </w:r>
    </w:p>
    <w:p w:rsidR="00E664AE" w:rsidRDefault="00E664AE" w:rsidP="00E664AE">
      <w:pPr>
        <w:numPr>
          <w:ilvl w:val="0"/>
          <w:numId w:val="10"/>
        </w:numPr>
        <w:spacing w:before="100" w:beforeAutospacing="1" w:after="100" w:afterAutospacing="1" w:line="240" w:lineRule="auto"/>
        <w:rPr>
          <w:rFonts w:ascii="Verdana" w:hAnsi="Verdana"/>
          <w:sz w:val="17"/>
          <w:szCs w:val="17"/>
        </w:rPr>
      </w:pPr>
      <w:hyperlink r:id="rId22" w:history="1">
        <w:r>
          <w:rPr>
            <w:rStyle w:val="Hyperlink"/>
            <w:rFonts w:ascii="Verdana" w:hAnsi="Verdana"/>
            <w:sz w:val="17"/>
            <w:szCs w:val="17"/>
          </w:rPr>
          <w:t>Mental Health Support Service Poster</w:t>
        </w:r>
      </w:hyperlink>
      <w:r>
        <w:rPr>
          <w:rFonts w:ascii="Verdana" w:hAnsi="Verdana"/>
          <w:sz w:val="17"/>
          <w:szCs w:val="17"/>
        </w:rPr>
        <w:t xml:space="preserve"> </w:t>
      </w:r>
    </w:p>
    <w:p w:rsidR="00E664AE" w:rsidRDefault="00E664AE" w:rsidP="00E664AE">
      <w:pPr>
        <w:pStyle w:val="Heading4"/>
        <w:rPr>
          <w:rFonts w:ascii="Verdana" w:hAnsi="Verdana"/>
          <w:sz w:val="17"/>
          <w:szCs w:val="17"/>
        </w:rPr>
      </w:pPr>
      <w:r>
        <w:rPr>
          <w:rFonts w:ascii="Verdana" w:hAnsi="Verdana"/>
          <w:sz w:val="17"/>
          <w:szCs w:val="17"/>
        </w:rPr>
        <w:t>Contact Details</w:t>
      </w:r>
    </w:p>
    <w:p w:rsidR="00E664AE" w:rsidRDefault="00E664AE" w:rsidP="00E664AE">
      <w:pPr>
        <w:pStyle w:val="NormalWeb"/>
        <w:rPr>
          <w:rFonts w:ascii="Verdana" w:hAnsi="Verdana"/>
          <w:sz w:val="17"/>
          <w:szCs w:val="17"/>
        </w:rPr>
      </w:pPr>
      <w:r>
        <w:rPr>
          <w:rStyle w:val="Strong"/>
          <w:rFonts w:ascii="Verdana" w:hAnsi="Verdana"/>
          <w:sz w:val="17"/>
          <w:szCs w:val="17"/>
        </w:rPr>
        <w:t>Access to Work - Glasgow</w:t>
      </w:r>
      <w:r>
        <w:rPr>
          <w:rFonts w:ascii="Verdana" w:hAnsi="Verdana"/>
          <w:b/>
          <w:bCs/>
          <w:sz w:val="17"/>
          <w:szCs w:val="17"/>
        </w:rPr>
        <w:br/>
      </w:r>
      <w:hyperlink r:id="rId23" w:history="1">
        <w:r>
          <w:rPr>
            <w:rStyle w:val="Hyperlink"/>
            <w:rFonts w:ascii="Verdana" w:hAnsi="Verdana"/>
            <w:sz w:val="17"/>
            <w:szCs w:val="17"/>
            <w:u w:val="single"/>
          </w:rPr>
          <w:t>atwosu.glasgow@dwp.gsi.gov.uk</w:t>
        </w:r>
      </w:hyperlink>
      <w:r>
        <w:rPr>
          <w:rFonts w:ascii="Verdana" w:hAnsi="Verdana"/>
          <w:sz w:val="17"/>
          <w:szCs w:val="17"/>
        </w:rPr>
        <w:br/>
        <w:t>Telephone: 0141 950 5327</w:t>
      </w:r>
      <w:r>
        <w:rPr>
          <w:rFonts w:ascii="Verdana" w:hAnsi="Verdana"/>
          <w:sz w:val="17"/>
          <w:szCs w:val="17"/>
        </w:rPr>
        <w:br/>
      </w:r>
      <w:proofErr w:type="spellStart"/>
      <w:r>
        <w:rPr>
          <w:rFonts w:ascii="Verdana" w:hAnsi="Verdana"/>
          <w:sz w:val="17"/>
          <w:szCs w:val="17"/>
        </w:rPr>
        <w:t>Textphone</w:t>
      </w:r>
      <w:proofErr w:type="spellEnd"/>
      <w:r>
        <w:rPr>
          <w:rFonts w:ascii="Verdana" w:hAnsi="Verdana"/>
          <w:sz w:val="17"/>
          <w:szCs w:val="17"/>
        </w:rPr>
        <w:t>: 0845 602 5850</w:t>
      </w:r>
      <w:r>
        <w:rPr>
          <w:rFonts w:ascii="Verdana" w:hAnsi="Verdana"/>
          <w:sz w:val="17"/>
          <w:szCs w:val="17"/>
        </w:rPr>
        <w:br/>
        <w:t>Fax: 0141 950 5265</w:t>
      </w:r>
    </w:p>
    <w:p w:rsidR="00E664AE" w:rsidRDefault="00E664AE" w:rsidP="00E664AE">
      <w:pPr>
        <w:pStyle w:val="Heading4"/>
        <w:rPr>
          <w:rFonts w:ascii="Verdana" w:hAnsi="Verdana"/>
          <w:sz w:val="17"/>
          <w:szCs w:val="17"/>
        </w:rPr>
      </w:pPr>
      <w:r>
        <w:rPr>
          <w:rFonts w:ascii="Verdana" w:hAnsi="Verdana"/>
          <w:sz w:val="17"/>
          <w:szCs w:val="17"/>
        </w:rPr>
        <w:t>Other Useful Links</w:t>
      </w:r>
    </w:p>
    <w:p w:rsidR="00E664AE" w:rsidRDefault="00E664AE" w:rsidP="00E664AE">
      <w:pPr>
        <w:numPr>
          <w:ilvl w:val="0"/>
          <w:numId w:val="11"/>
        </w:numPr>
        <w:spacing w:before="100" w:beforeAutospacing="1" w:after="100" w:afterAutospacing="1" w:line="240" w:lineRule="auto"/>
        <w:rPr>
          <w:rFonts w:ascii="Verdana" w:hAnsi="Verdana"/>
          <w:sz w:val="17"/>
          <w:szCs w:val="17"/>
        </w:rPr>
      </w:pPr>
      <w:hyperlink r:id="rId24" w:history="1">
        <w:r>
          <w:rPr>
            <w:rStyle w:val="Hyperlink"/>
            <w:rFonts w:ascii="Verdana" w:hAnsi="Verdana"/>
            <w:sz w:val="17"/>
            <w:szCs w:val="17"/>
            <w:u w:val="single"/>
          </w:rPr>
          <w:t>https://www.gov.uk/government/publications/the-disability-confident-campaign</w:t>
        </w:r>
      </w:hyperlink>
      <w:r>
        <w:rPr>
          <w:rFonts w:ascii="Verdana" w:hAnsi="Verdana"/>
          <w:sz w:val="17"/>
          <w:szCs w:val="17"/>
        </w:rPr>
        <w:t xml:space="preserve"> </w:t>
      </w:r>
    </w:p>
    <w:p w:rsidR="00E664AE" w:rsidRDefault="00E664AE" w:rsidP="00E664AE">
      <w:pPr>
        <w:numPr>
          <w:ilvl w:val="0"/>
          <w:numId w:val="11"/>
        </w:numPr>
        <w:spacing w:before="100" w:beforeAutospacing="1" w:after="100" w:afterAutospacing="1" w:line="240" w:lineRule="auto"/>
        <w:rPr>
          <w:rFonts w:ascii="Verdana" w:hAnsi="Verdana"/>
          <w:sz w:val="17"/>
          <w:szCs w:val="17"/>
        </w:rPr>
      </w:pPr>
      <w:hyperlink r:id="rId25" w:history="1">
        <w:r>
          <w:rPr>
            <w:rStyle w:val="Hyperlink"/>
            <w:rFonts w:ascii="Verdana" w:hAnsi="Verdana"/>
            <w:sz w:val="17"/>
            <w:szCs w:val="17"/>
            <w:u w:val="single"/>
          </w:rPr>
          <w:t>https://www.gov.uk/government/publications/employing-disabled-people-and-people-with-health-conditions/employing-disabled-people-and-people-with-health-conditions</w:t>
        </w:r>
      </w:hyperlink>
      <w:r>
        <w:rPr>
          <w:rFonts w:ascii="Verdana" w:hAnsi="Verdana"/>
          <w:sz w:val="17"/>
          <w:szCs w:val="17"/>
        </w:rPr>
        <w:t xml:space="preserve"> </w:t>
      </w:r>
    </w:p>
    <w:p w:rsidR="00E664AE" w:rsidRDefault="00E664AE" w:rsidP="00E664AE">
      <w:pPr>
        <w:numPr>
          <w:ilvl w:val="0"/>
          <w:numId w:val="11"/>
        </w:numPr>
        <w:spacing w:before="100" w:beforeAutospacing="1" w:after="100" w:afterAutospacing="1" w:line="240" w:lineRule="auto"/>
        <w:rPr>
          <w:rFonts w:ascii="Verdana" w:hAnsi="Verdana"/>
          <w:sz w:val="17"/>
          <w:szCs w:val="17"/>
        </w:rPr>
      </w:pPr>
      <w:hyperlink r:id="rId26" w:history="1">
        <w:r>
          <w:rPr>
            <w:rStyle w:val="Hyperlink"/>
            <w:rFonts w:ascii="Verdana" w:hAnsi="Verdana"/>
            <w:sz w:val="17"/>
            <w:szCs w:val="17"/>
            <w:u w:val="single"/>
          </w:rPr>
          <w:t>https://www.gov.uk/access-to-work</w:t>
        </w:r>
      </w:hyperlink>
      <w:r>
        <w:rPr>
          <w:rFonts w:ascii="Verdana" w:hAnsi="Verdana"/>
          <w:sz w:val="17"/>
          <w:szCs w:val="17"/>
        </w:rPr>
        <w:t xml:space="preserve"> </w:t>
      </w:r>
    </w:p>
    <w:p w:rsidR="00E664AE" w:rsidRDefault="00E664AE" w:rsidP="00E664AE">
      <w:pPr>
        <w:pStyle w:val="NormalWeb"/>
        <w:rPr>
          <w:rFonts w:ascii="Verdana" w:hAnsi="Verdana"/>
          <w:sz w:val="17"/>
          <w:szCs w:val="17"/>
        </w:rPr>
      </w:pPr>
      <w:r>
        <w:rPr>
          <w:rFonts w:ascii="Verdana" w:hAnsi="Verdana"/>
          <w:sz w:val="17"/>
          <w:szCs w:val="17"/>
        </w:rPr>
        <w:lastRenderedPageBreak/>
        <w:t>Please be aware that you may not be able to visit these sites unless you have been setup with access or during certain times.  Aberdeen City Council is not responsible for the content of external websites. </w:t>
      </w:r>
    </w:p>
    <w:p w:rsidR="00E664AE" w:rsidRDefault="00E664AE" w:rsidP="00E664AE">
      <w:pPr>
        <w:pStyle w:val="Heading2"/>
        <w:rPr>
          <w:rFonts w:ascii="Verdana" w:hAnsi="Verdana"/>
          <w:sz w:val="20"/>
          <w:szCs w:val="20"/>
        </w:rPr>
      </w:pPr>
      <w:r>
        <w:rPr>
          <w:rFonts w:ascii="Verdana" w:hAnsi="Verdana"/>
          <w:sz w:val="20"/>
          <w:szCs w:val="20"/>
        </w:rPr>
        <w:t>Other Information</w:t>
      </w:r>
    </w:p>
    <w:p w:rsidR="00E664AE" w:rsidRDefault="00E664AE" w:rsidP="00E664AE">
      <w:pPr>
        <w:pStyle w:val="Heading4"/>
        <w:rPr>
          <w:rFonts w:ascii="Verdana" w:hAnsi="Verdana"/>
          <w:sz w:val="17"/>
          <w:szCs w:val="17"/>
        </w:rPr>
      </w:pPr>
      <w:r>
        <w:rPr>
          <w:rFonts w:ascii="Verdana" w:hAnsi="Verdana"/>
          <w:sz w:val="17"/>
          <w:szCs w:val="17"/>
        </w:rPr>
        <w:t>Policies related to Access to Work</w:t>
      </w:r>
    </w:p>
    <w:p w:rsidR="00E664AE" w:rsidRDefault="00E664AE" w:rsidP="00E664AE">
      <w:pPr>
        <w:numPr>
          <w:ilvl w:val="0"/>
          <w:numId w:val="12"/>
        </w:numPr>
        <w:spacing w:before="100" w:beforeAutospacing="1" w:after="100" w:afterAutospacing="1" w:line="240" w:lineRule="auto"/>
        <w:rPr>
          <w:rFonts w:ascii="Verdana" w:hAnsi="Verdana"/>
          <w:sz w:val="17"/>
          <w:szCs w:val="17"/>
        </w:rPr>
      </w:pPr>
      <w:hyperlink r:id="rId27" w:history="1">
        <w:r>
          <w:rPr>
            <w:rStyle w:val="Hyperlink"/>
            <w:rFonts w:ascii="Verdana" w:hAnsi="Verdana"/>
            <w:sz w:val="17"/>
            <w:szCs w:val="17"/>
          </w:rPr>
          <w:t>Access to Work Scheme: Guidance for Managers</w:t>
        </w:r>
      </w:hyperlink>
      <w:r>
        <w:rPr>
          <w:rFonts w:ascii="Verdana" w:hAnsi="Verdana"/>
          <w:sz w:val="17"/>
          <w:szCs w:val="17"/>
        </w:rPr>
        <w:t xml:space="preserve"> </w:t>
      </w:r>
    </w:p>
    <w:p w:rsidR="00E664AE" w:rsidRDefault="00E664AE" w:rsidP="00E664AE">
      <w:pPr>
        <w:numPr>
          <w:ilvl w:val="0"/>
          <w:numId w:val="12"/>
        </w:numPr>
        <w:spacing w:before="100" w:beforeAutospacing="1" w:after="100" w:afterAutospacing="1" w:line="240" w:lineRule="auto"/>
        <w:rPr>
          <w:rFonts w:ascii="Verdana" w:hAnsi="Verdana"/>
          <w:sz w:val="17"/>
          <w:szCs w:val="17"/>
        </w:rPr>
      </w:pPr>
      <w:hyperlink r:id="rId28" w:history="1">
        <w:r>
          <w:rPr>
            <w:rStyle w:val="Hyperlink"/>
            <w:rFonts w:ascii="Verdana" w:hAnsi="Verdana"/>
            <w:sz w:val="17"/>
            <w:szCs w:val="17"/>
          </w:rPr>
          <w:t>Diversity and Equality Policy</w:t>
        </w:r>
      </w:hyperlink>
      <w:r>
        <w:rPr>
          <w:rFonts w:ascii="Verdana" w:hAnsi="Verdana"/>
          <w:sz w:val="17"/>
          <w:szCs w:val="17"/>
        </w:rPr>
        <w:t xml:space="preserve"> </w:t>
      </w:r>
    </w:p>
    <w:p w:rsidR="00E02920" w:rsidRDefault="00E664AE" w:rsidP="00E664AE">
      <w:hyperlink r:id="rId29" w:tgtFrame="_self" w:history="1">
        <w:r>
          <w:rPr>
            <w:rStyle w:val="Hyperlink"/>
            <w:rFonts w:ascii="Verdana" w:hAnsi="Verdana"/>
            <w:sz w:val="17"/>
            <w:szCs w:val="17"/>
          </w:rPr>
          <w:t>Disability in the Workplace Guidance</w:t>
        </w:r>
      </w:hyperlink>
      <w:bookmarkStart w:id="0" w:name="_GoBack"/>
      <w:bookmarkEnd w:id="0"/>
    </w:p>
    <w:sectPr w:rsidR="00E029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5EB8"/>
    <w:multiLevelType w:val="multilevel"/>
    <w:tmpl w:val="265A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30DEE"/>
    <w:multiLevelType w:val="multilevel"/>
    <w:tmpl w:val="05D2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FD061B"/>
    <w:multiLevelType w:val="multilevel"/>
    <w:tmpl w:val="EB52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1B3039"/>
    <w:multiLevelType w:val="multilevel"/>
    <w:tmpl w:val="666A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D16A6E"/>
    <w:multiLevelType w:val="multilevel"/>
    <w:tmpl w:val="92C8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720813"/>
    <w:multiLevelType w:val="multilevel"/>
    <w:tmpl w:val="DE38C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C81294"/>
    <w:multiLevelType w:val="multilevel"/>
    <w:tmpl w:val="C1AA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6432E2"/>
    <w:multiLevelType w:val="multilevel"/>
    <w:tmpl w:val="710E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64427C"/>
    <w:multiLevelType w:val="multilevel"/>
    <w:tmpl w:val="C228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5E289D"/>
    <w:multiLevelType w:val="multilevel"/>
    <w:tmpl w:val="89B8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7361B4"/>
    <w:multiLevelType w:val="multilevel"/>
    <w:tmpl w:val="1F88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601C07"/>
    <w:multiLevelType w:val="multilevel"/>
    <w:tmpl w:val="C56A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5"/>
  </w:num>
  <w:num w:numId="4">
    <w:abstractNumId w:val="2"/>
  </w:num>
  <w:num w:numId="5">
    <w:abstractNumId w:val="10"/>
  </w:num>
  <w:num w:numId="6">
    <w:abstractNumId w:val="11"/>
  </w:num>
  <w:num w:numId="7">
    <w:abstractNumId w:val="9"/>
  </w:num>
  <w:num w:numId="8">
    <w:abstractNumId w:val="7"/>
  </w:num>
  <w:num w:numId="9">
    <w:abstractNumId w:val="3"/>
  </w:num>
  <w:num w:numId="10">
    <w:abstractNumId w:val="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AE"/>
    <w:rsid w:val="00E02920"/>
    <w:rsid w:val="00E66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BECDB-859C-43C8-924A-D3C331A7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64AE"/>
    <w:pPr>
      <w:spacing w:before="100" w:beforeAutospacing="1" w:after="100" w:afterAutospacing="1" w:line="240" w:lineRule="auto"/>
      <w:outlineLvl w:val="0"/>
    </w:pPr>
    <w:rPr>
      <w:rFonts w:ascii="Times New Roman" w:eastAsia="Times New Roman" w:hAnsi="Times New Roman" w:cs="Times New Roman"/>
      <w:b/>
      <w:bCs/>
      <w:color w:val="004B84"/>
      <w:kern w:val="36"/>
      <w:sz w:val="31"/>
      <w:szCs w:val="31"/>
      <w:lang w:eastAsia="en-GB"/>
    </w:rPr>
  </w:style>
  <w:style w:type="paragraph" w:styleId="Heading2">
    <w:name w:val="heading 2"/>
    <w:basedOn w:val="Normal"/>
    <w:link w:val="Heading2Char"/>
    <w:uiPriority w:val="9"/>
    <w:qFormat/>
    <w:rsid w:val="00E664AE"/>
    <w:pPr>
      <w:spacing w:before="100" w:beforeAutospacing="1" w:after="100" w:afterAutospacing="1" w:line="240" w:lineRule="auto"/>
      <w:outlineLvl w:val="1"/>
    </w:pPr>
    <w:rPr>
      <w:rFonts w:ascii="Times New Roman" w:eastAsia="Times New Roman" w:hAnsi="Times New Roman" w:cs="Times New Roman"/>
      <w:b/>
      <w:bCs/>
      <w:color w:val="004B84"/>
      <w:sz w:val="29"/>
      <w:szCs w:val="29"/>
      <w:lang w:eastAsia="en-GB"/>
    </w:rPr>
  </w:style>
  <w:style w:type="paragraph" w:styleId="Heading4">
    <w:name w:val="heading 4"/>
    <w:basedOn w:val="Normal"/>
    <w:next w:val="Normal"/>
    <w:link w:val="Heading4Char"/>
    <w:uiPriority w:val="9"/>
    <w:semiHidden/>
    <w:unhideWhenUsed/>
    <w:qFormat/>
    <w:rsid w:val="00E664A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4AE"/>
    <w:rPr>
      <w:rFonts w:ascii="Times New Roman" w:eastAsia="Times New Roman" w:hAnsi="Times New Roman" w:cs="Times New Roman"/>
      <w:b/>
      <w:bCs/>
      <w:color w:val="004B84"/>
      <w:kern w:val="36"/>
      <w:sz w:val="31"/>
      <w:szCs w:val="31"/>
      <w:lang w:eastAsia="en-GB"/>
    </w:rPr>
  </w:style>
  <w:style w:type="character" w:customStyle="1" w:styleId="Heading2Char">
    <w:name w:val="Heading 2 Char"/>
    <w:basedOn w:val="DefaultParagraphFont"/>
    <w:link w:val="Heading2"/>
    <w:uiPriority w:val="9"/>
    <w:rsid w:val="00E664AE"/>
    <w:rPr>
      <w:rFonts w:ascii="Times New Roman" w:eastAsia="Times New Roman" w:hAnsi="Times New Roman" w:cs="Times New Roman"/>
      <w:b/>
      <w:bCs/>
      <w:color w:val="004B84"/>
      <w:sz w:val="29"/>
      <w:szCs w:val="29"/>
      <w:lang w:eastAsia="en-GB"/>
    </w:rPr>
  </w:style>
  <w:style w:type="character" w:styleId="Hyperlink">
    <w:name w:val="Hyperlink"/>
    <w:basedOn w:val="DefaultParagraphFont"/>
    <w:uiPriority w:val="99"/>
    <w:semiHidden/>
    <w:unhideWhenUsed/>
    <w:rsid w:val="00E664AE"/>
    <w:rPr>
      <w:strike w:val="0"/>
      <w:dstrike w:val="0"/>
      <w:color w:val="0000CC"/>
      <w:u w:val="none"/>
      <w:effect w:val="none"/>
    </w:rPr>
  </w:style>
  <w:style w:type="paragraph" w:styleId="NormalWeb">
    <w:name w:val="Normal (Web)"/>
    <w:basedOn w:val="Normal"/>
    <w:uiPriority w:val="99"/>
    <w:semiHidden/>
    <w:unhideWhenUsed/>
    <w:rsid w:val="00E664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664AE"/>
    <w:rPr>
      <w:b/>
      <w:bCs/>
    </w:rPr>
  </w:style>
  <w:style w:type="character" w:customStyle="1" w:styleId="Heading4Char">
    <w:name w:val="Heading 4 Char"/>
    <w:basedOn w:val="DefaultParagraphFont"/>
    <w:link w:val="Heading4"/>
    <w:uiPriority w:val="9"/>
    <w:semiHidden/>
    <w:rsid w:val="00E664A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2669">
      <w:bodyDiv w:val="1"/>
      <w:marLeft w:val="0"/>
      <w:marRight w:val="0"/>
      <w:marTop w:val="0"/>
      <w:marBottom w:val="0"/>
      <w:divBdr>
        <w:top w:val="none" w:sz="0" w:space="0" w:color="auto"/>
        <w:left w:val="none" w:sz="0" w:space="0" w:color="auto"/>
        <w:bottom w:val="none" w:sz="0" w:space="0" w:color="auto"/>
        <w:right w:val="none" w:sz="0" w:space="0" w:color="auto"/>
      </w:divBdr>
      <w:divsChild>
        <w:div w:id="49378382">
          <w:marLeft w:val="0"/>
          <w:marRight w:val="0"/>
          <w:marTop w:val="0"/>
          <w:marBottom w:val="0"/>
          <w:divBdr>
            <w:top w:val="none" w:sz="0" w:space="0" w:color="auto"/>
            <w:left w:val="none" w:sz="0" w:space="0" w:color="auto"/>
            <w:bottom w:val="none" w:sz="0" w:space="0" w:color="auto"/>
            <w:right w:val="none" w:sz="0" w:space="0" w:color="auto"/>
          </w:divBdr>
        </w:div>
      </w:divsChild>
    </w:div>
    <w:div w:id="1130976156">
      <w:bodyDiv w:val="1"/>
      <w:marLeft w:val="0"/>
      <w:marRight w:val="0"/>
      <w:marTop w:val="0"/>
      <w:marBottom w:val="0"/>
      <w:divBdr>
        <w:top w:val="none" w:sz="0" w:space="0" w:color="auto"/>
        <w:left w:val="none" w:sz="0" w:space="0" w:color="auto"/>
        <w:bottom w:val="none" w:sz="0" w:space="0" w:color="auto"/>
        <w:right w:val="none" w:sz="0" w:space="0" w:color="auto"/>
      </w:divBdr>
      <w:divsChild>
        <w:div w:id="665592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zone/nmsruntime/saveasdialog.asp?lID=29074&amp;sID=9913" TargetMode="External"/><Relationship Id="rId13" Type="http://schemas.openxmlformats.org/officeDocument/2006/relationships/hyperlink" Target="http://thezone/nmsruntime/saveasdialog.asp?lID=29080&amp;sID=9913" TargetMode="External"/><Relationship Id="rId18" Type="http://schemas.openxmlformats.org/officeDocument/2006/relationships/hyperlink" Target="http://thezone/nmsruntime/saveasdialog.asp?lID=29070&amp;sID=9913" TargetMode="External"/><Relationship Id="rId26" Type="http://schemas.openxmlformats.org/officeDocument/2006/relationships/hyperlink" Target="https://www.gov.uk/access-to-work" TargetMode="External"/><Relationship Id="rId3" Type="http://schemas.openxmlformats.org/officeDocument/2006/relationships/settings" Target="settings.xml"/><Relationship Id="rId21" Type="http://schemas.openxmlformats.org/officeDocument/2006/relationships/hyperlink" Target="http://thezone/nmsruntime/saveasdialog.asp?lID=29094&amp;sID=9913" TargetMode="External"/><Relationship Id="rId7" Type="http://schemas.openxmlformats.org/officeDocument/2006/relationships/hyperlink" Target="http://thezone/nmsruntime/saveasdialog.asp?lID=29072&amp;sID=9913" TargetMode="External"/><Relationship Id="rId12" Type="http://schemas.openxmlformats.org/officeDocument/2006/relationships/hyperlink" Target="http://thezone/nmsruntime/saveasdialog.asp?lID=29078&amp;sID=9913" TargetMode="External"/><Relationship Id="rId17" Type="http://schemas.openxmlformats.org/officeDocument/2006/relationships/hyperlink" Target="http://thezone/nmsruntime/saveasdialog.asp?lID=29088&amp;sID=9913" TargetMode="External"/><Relationship Id="rId25" Type="http://schemas.openxmlformats.org/officeDocument/2006/relationships/hyperlink" Target="https://www.gov.uk/government/publications/employing-disabled-people-and-people-with-health-conditions/employing-disabled-people-and-people-with-health-conditions" TargetMode="External"/><Relationship Id="rId2" Type="http://schemas.openxmlformats.org/officeDocument/2006/relationships/styles" Target="styles.xml"/><Relationship Id="rId16" Type="http://schemas.openxmlformats.org/officeDocument/2006/relationships/hyperlink" Target="http://thezone/nmsruntime/saveasdialog.asp?lID=29086&amp;sID=9913" TargetMode="External"/><Relationship Id="rId20" Type="http://schemas.openxmlformats.org/officeDocument/2006/relationships/image" Target="media/image2.jpeg"/><Relationship Id="rId29" Type="http://schemas.openxmlformats.org/officeDocument/2006/relationships/hyperlink" Target="http://thezone/nmsruntime/saveasdialog.asp?lID=27120&amp;sID=9913"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thezone/nmsruntime/saveasdialog.asp?lID=29076&amp;sID=9913" TargetMode="External"/><Relationship Id="rId24" Type="http://schemas.openxmlformats.org/officeDocument/2006/relationships/hyperlink" Target="https://www.gov.uk/government/publications/the-disability-confident-campaign" TargetMode="External"/><Relationship Id="rId5" Type="http://schemas.openxmlformats.org/officeDocument/2006/relationships/hyperlink" Target="http://thezone/nmsruntime/saveasdialog.asp?lID=29074&amp;sID=9913" TargetMode="External"/><Relationship Id="rId15" Type="http://schemas.openxmlformats.org/officeDocument/2006/relationships/hyperlink" Target="http://thezone/nmsruntime/saveasdialog.asp?lID=29084&amp;sID=9913" TargetMode="External"/><Relationship Id="rId23" Type="http://schemas.openxmlformats.org/officeDocument/2006/relationships/hyperlink" Target="mailto:atwosu.glasgow@dwp.gsi.gov.uk" TargetMode="External"/><Relationship Id="rId28" Type="http://schemas.openxmlformats.org/officeDocument/2006/relationships/hyperlink" Target="http://thezone/nmsruntime/saveasdialog.asp?lID=23122&amp;sID=9913" TargetMode="External"/><Relationship Id="rId10" Type="http://schemas.openxmlformats.org/officeDocument/2006/relationships/hyperlink" Target="http://thezone/nmsruntime/saveasdialog.asp?lID=29092&amp;sID=9913" TargetMode="External"/><Relationship Id="rId19" Type="http://schemas.openxmlformats.org/officeDocument/2006/relationships/hyperlink" Target="http://thezone/nmsruntime/saveasdialog.asp?lID=29096&amp;sID=9913"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hezone/nmsruntime/saveasdialog.asp?lID=29090&amp;sID=9913" TargetMode="External"/><Relationship Id="rId14" Type="http://schemas.openxmlformats.org/officeDocument/2006/relationships/hyperlink" Target="http://thezone/nmsruntime/saveasdialog.asp?lID=29082&amp;sID=9913" TargetMode="External"/><Relationship Id="rId22" Type="http://schemas.openxmlformats.org/officeDocument/2006/relationships/hyperlink" Target="http://thezone/nmsruntime/saveasdialog.asp?lID=29096&amp;sID=9913" TargetMode="External"/><Relationship Id="rId27" Type="http://schemas.openxmlformats.org/officeDocument/2006/relationships/hyperlink" Target="http://thezone/nmsruntime/saveasdialog.asp?lID=21716&amp;sID=9913"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ACC</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Buck</dc:creator>
  <cp:keywords/>
  <dc:description/>
  <cp:lastModifiedBy>Darren Buck</cp:lastModifiedBy>
  <cp:revision>1</cp:revision>
  <dcterms:created xsi:type="dcterms:W3CDTF">2017-06-28T13:03:00Z</dcterms:created>
  <dcterms:modified xsi:type="dcterms:W3CDTF">2017-06-28T13:04:00Z</dcterms:modified>
</cp:coreProperties>
</file>